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Emerson Daniel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03"/>
        <w:gridCol w:w="454"/>
        <w:gridCol w:w="841"/>
        <w:gridCol w:w="1195"/>
        <w:gridCol w:w="997"/>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917</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217.65</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113,071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744</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217.03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112,327</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"sell to cover" election made by the Reporting Person for the sole purpose to satisfy the Reporting Person's tax withholding obligation upon the settlement of previously granted restricted units. This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Sale of shares pursuant to Rule 10b5-1 trading plan adopted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1,040 shares of Common Stock, (ii) 18,075 unvested time-based restricted stock units and (iii) 93,212 unvested performance-based restricted stock units. Such unvested awards will vest, or fail to vest, in accordance with the terms of the applicable award agreements.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Emerson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23654"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3724</Characters>
  <CharactersWithSpaces>4333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