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7,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TAKE-TWO INTERACTIVE SOFTWARE,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085" w:type="dxa"/>
        <w:jc w:val="left"/>
        <w:tblInd w:w="0" w:type="dxa"/>
        <w:tblLayout w:type="fixed"/>
        <w:tblCellMar>
          <w:top w:w="28" w:type="dxa"/>
          <w:left w:w="28" w:type="dxa"/>
          <w:bottom w:w="28" w:type="dxa"/>
          <w:right w:w="28" w:type="dxa"/>
        </w:tblCellMar>
      </w:tblPr>
      <w:tblGrid>
        <w:gridCol w:w="812"/>
        <w:gridCol w:w="713"/>
        <w:gridCol w:w="724"/>
        <w:gridCol w:w="394"/>
        <w:gridCol w:w="394"/>
        <w:gridCol w:w="398"/>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001-34003</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51-0350842</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917" w:type="dxa"/>
        <w:jc w:val="center"/>
        <w:tblInd w:w="0" w:type="dxa"/>
        <w:tblLayout w:type="fixed"/>
        <w:tblCellMar>
          <w:top w:w="28" w:type="dxa"/>
          <w:left w:w="28" w:type="dxa"/>
          <w:bottom w:w="28" w:type="dxa"/>
          <w:right w:w="28" w:type="dxa"/>
        </w:tblCellMar>
      </w:tblPr>
      <w:tblGrid>
        <w:gridCol w:w="689"/>
        <w:gridCol w:w="606"/>
        <w:gridCol w:w="609"/>
        <w:gridCol w:w="344"/>
        <w:gridCol w:w="344"/>
        <w:gridCol w:w="346"/>
        <w:gridCol w:w="314"/>
        <w:gridCol w:w="314"/>
        <w:gridCol w:w="316"/>
        <w:gridCol w:w="303"/>
        <w:gridCol w:w="303"/>
        <w:gridCol w:w="429"/>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110 West 44th Street,</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New York, </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10036</w:t>
            </w:r>
          </w:p>
        </w:tc>
      </w:tr>
      <w:tr>
        <w:trPr/>
        <w:tc>
          <w:tcPr>
            <w:tcW w:w="38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(646) 536-2842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709"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21"/>
        <w:gridCol w:w="1121"/>
        <w:gridCol w:w="1584"/>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TTWO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80" w:type="dxa"/>
        <w:jc w:val="left"/>
        <w:tblInd w:w="0" w:type="dxa"/>
        <w:tblLayout w:type="fixed"/>
        <w:tblCellMar>
          <w:top w:w="28" w:type="dxa"/>
          <w:left w:w="28" w:type="dxa"/>
          <w:bottom w:w="28" w:type="dxa"/>
          <w:right w:w="28" w:type="dxa"/>
        </w:tblCellMar>
      </w:tblPr>
      <w:tblGrid>
        <w:gridCol w:w="337"/>
        <w:gridCol w:w="295"/>
        <w:gridCol w:w="298"/>
        <w:gridCol w:w="1186"/>
        <w:gridCol w:w="1186"/>
        <w:gridCol w:w="1678"/>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2.02</w:t>
            </w:r>
          </w:p>
        </w:tc>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2026, Take-Two Interactive Software, Inc. (the “Company”) issued a press release announcing the financial results of the Company for its first fiscal quarter ended June 30, 2026.  A copy of the press release is attached to this Current Report as Exhibit 99.1 and is incorporated by reference herein.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 </w:t>
      </w:r>
    </w:p>
    <w:p>
      <w:pPr>
        <w:pStyle w:val="TextBody"/>
        <w:bidi w:val="0"/>
        <w:spacing w:before="1" w:after="1"/>
        <w:jc w:val="left"/>
        <w:rPr/>
      </w:pPr>
      <w:r>
        <w:rPr/>
      </w:r>
    </w:p>
    <w:tbl>
      <w:tblPr>
        <w:tblW w:w="3960" w:type="dxa"/>
        <w:jc w:val="left"/>
        <w:tblInd w:w="0" w:type="dxa"/>
        <w:tblLayout w:type="fixed"/>
        <w:tblCellMar>
          <w:top w:w="28" w:type="dxa"/>
          <w:left w:w="28" w:type="dxa"/>
          <w:bottom w:w="28" w:type="dxa"/>
          <w:right w:w="28" w:type="dxa"/>
        </w:tblCellMar>
      </w:tblPr>
      <w:tblGrid>
        <w:gridCol w:w="337"/>
        <w:gridCol w:w="295"/>
        <w:gridCol w:w="298"/>
        <w:gridCol w:w="887"/>
        <w:gridCol w:w="887"/>
        <w:gridCol w:w="1256"/>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9.01</w:t>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2740"/>
        <w:gridCol w:w="2740"/>
        <w:gridCol w:w="39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FF"/>
                <w:sz w:val="20"/>
                <w:u w:val="single"/>
              </w:rPr>
            </w:pPr>
            <w:r>
              <w:rPr>
                <w:rFonts w:ascii="Times New Roman;serif" w:hAnsi="Times New Roman;serif"/>
                <w:b w:val="false"/>
                <w:color w:val="0000FF"/>
                <w:sz w:val="20"/>
                <w:u w:val="single"/>
              </w:rPr>
              <w:t>99.1</w:t>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ttwo1q27earningsrelease.htm">
              <w:r>
                <w:rPr>
                  <w:rStyle w:val="InternetLink"/>
                  <w:rFonts w:ascii="Times New Roman;serif" w:hAnsi="Times New Roman;serif"/>
                  <w:b w:val="false"/>
                  <w:color w:val="000080"/>
                  <w:sz w:val="20"/>
                  <w:u w:val="single"/>
                </w:rPr>
                <w:t xml:space="preserve">Press Release dated </w:t>
              </w:r>
            </w:hyperlink>
            <w:hyperlink w:anchor="ttwo1q27earningsrelease.htm">
              <w:r>
                <w:rPr>
                  <w:rStyle w:val="InternetLink"/>
                  <w:rFonts w:ascii="Times New Roman;serif" w:hAnsi="Times New Roman;serif"/>
                  <w:b w:val="false"/>
                  <w:color w:val="000080"/>
                  <w:sz w:val="20"/>
                  <w:u w:val="single"/>
                </w:rPr>
                <w:t>August 7</w:t>
              </w:r>
            </w:hyperlink>
            <w:hyperlink w:anchor="ttwo1q27earningsrelease.htm">
              <w:r>
                <w:rPr>
                  <w:rStyle w:val="InternetLink"/>
                  <w:rFonts w:ascii="Times New Roman;serif" w:hAnsi="Times New Roman;serif"/>
                  <w:b w:val="false"/>
                  <w:color w:val="000080"/>
                  <w:sz w:val="20"/>
                  <w:u w:val="single"/>
                </w:rPr>
                <w:t xml:space="preserve">, 2026 relating to Take-Two Interactive Software, Inc.’s financial results for its </w:t>
              </w:r>
            </w:hyperlink>
            <w:hyperlink w:anchor="ttwo1q27earningsrelease.htm">
              <w:r>
                <w:rPr>
                  <w:rStyle w:val="InternetLink"/>
                  <w:rFonts w:ascii="Times New Roman;serif" w:hAnsi="Times New Roman;serif"/>
                  <w:b w:val="false"/>
                  <w:color w:val="000080"/>
                  <w:sz w:val="20"/>
                  <w:u w:val="single"/>
                </w:rPr>
                <w:t>first</w:t>
              </w:r>
            </w:hyperlink>
            <w:hyperlink w:anchor="ttwo1q27earningsrelease.htm">
              <w:r>
                <w:rPr>
                  <w:rStyle w:val="InternetLink"/>
                  <w:rFonts w:ascii="Times New Roman;serif" w:hAnsi="Times New Roman;serif"/>
                  <w:b w:val="false"/>
                  <w:color w:val="000080"/>
                  <w:sz w:val="20"/>
                  <w:u w:val="single"/>
                </w:rPr>
                <w:t xml:space="preserve"> fiscal quarter </w:t>
              </w:r>
            </w:hyperlink>
            <w:hyperlink w:anchor="ttwo1q27earningsrelease.htm">
              <w:r>
                <w:rPr>
                  <w:rStyle w:val="InternetLink"/>
                  <w:rFonts w:ascii="Times New Roman;serif" w:hAnsi="Times New Roman;serif"/>
                  <w:b w:val="false"/>
                  <w:color w:val="000080"/>
                  <w:sz w:val="20"/>
                  <w:u w:val="single"/>
                </w:rPr>
                <w:t xml:space="preserve">ended </w:t>
              </w:r>
            </w:hyperlink>
            <w:r>
              <w:rPr>
                <w:rFonts w:ascii="Times New Roman;serif" w:hAnsi="Times New Roman;serif"/>
                <w:b w:val="false"/>
                <w:color w:val="0000FF"/>
                <w:sz w:val="20"/>
                <w:u w:val="single"/>
              </w:rPr>
              <w:t>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20"/>
        <w:jc w:val="left"/>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2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center"/>
        <w:rPr>
          <w:color w:val="000000"/>
        </w:rPr>
      </w:pPr>
      <w:r>
        <w:rPr>
          <w:color w:val="000000"/>
        </w:rPr>
        <w:t> </w:t>
      </w:r>
    </w:p>
    <w:tbl>
      <w:tblPr>
        <w:tblW w:w="7783" w:type="dxa"/>
        <w:jc w:val="left"/>
        <w:tblInd w:w="0" w:type="dxa"/>
        <w:tblLayout w:type="fixed"/>
        <w:tblCellMar>
          <w:top w:w="28" w:type="dxa"/>
          <w:left w:w="28" w:type="dxa"/>
          <w:bottom w:w="28" w:type="dxa"/>
          <w:right w:w="28" w:type="dxa"/>
        </w:tblCellMar>
      </w:tblPr>
      <w:tblGrid>
        <w:gridCol w:w="667"/>
        <w:gridCol w:w="587"/>
        <w:gridCol w:w="590"/>
        <w:gridCol w:w="625"/>
        <w:gridCol w:w="625"/>
        <w:gridCol w:w="625"/>
        <w:gridCol w:w="1186"/>
        <w:gridCol w:w="1186"/>
        <w:gridCol w:w="169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TAKE-TWO INTERACTIVE SOFTWARE,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Breitman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Breitman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Governance Officer &amp; Corporate Secretary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right"/>
        <w:rPr/>
      </w:pPr>
      <w:r>
        <w:rPr/>
      </w:r>
    </w:p>
    <w:tbl>
      <w:tblPr>
        <w:tblW w:w="5362" w:type="dxa"/>
        <w:jc w:val="left"/>
        <w:tblInd w:w="0" w:type="dxa"/>
        <w:tblLayout w:type="fixed"/>
        <w:tblCellMar>
          <w:top w:w="28" w:type="dxa"/>
          <w:left w:w="28" w:type="dxa"/>
          <w:bottom w:w="28" w:type="dxa"/>
          <w:right w:w="28" w:type="dxa"/>
        </w:tblCellMar>
      </w:tblPr>
      <w:tblGrid>
        <w:gridCol w:w="841"/>
        <w:gridCol w:w="739"/>
        <w:gridCol w:w="741"/>
        <w:gridCol w:w="109"/>
        <w:gridCol w:w="109"/>
        <w:gridCol w:w="109"/>
        <w:gridCol w:w="794"/>
        <w:gridCol w:w="794"/>
        <w:gridCol w:w="112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09700" cy="1409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09700" cy="1409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FOR IMMEDIATE RELEASE</w:t>
            </w:r>
          </w:p>
        </w:tc>
      </w:tr>
    </w:tbl>
    <w:p>
      <w:pPr>
        <w:pStyle w:val="TextBody"/>
        <w:bidi w:val="0"/>
        <w:spacing w:before="0" w:after="0"/>
        <w:jc w:val="left"/>
        <w:rPr/>
      </w:pPr>
      <w:r>
        <w:rPr/>
      </w:r>
    </w:p>
    <w:tbl>
      <w:tblPr>
        <w:tblW w:w="8327" w:type="dxa"/>
        <w:jc w:val="left"/>
        <w:tblInd w:w="0" w:type="dxa"/>
        <w:tblLayout w:type="fixed"/>
        <w:tblCellMar>
          <w:top w:w="28" w:type="dxa"/>
          <w:left w:w="28" w:type="dxa"/>
          <w:bottom w:w="28" w:type="dxa"/>
          <w:right w:w="28" w:type="dxa"/>
        </w:tblCellMar>
      </w:tblPr>
      <w:tblGrid>
        <w:gridCol w:w="1583"/>
        <w:gridCol w:w="1387"/>
        <w:gridCol w:w="1394"/>
        <w:gridCol w:w="109"/>
        <w:gridCol w:w="1126"/>
        <w:gridCol w:w="1126"/>
        <w:gridCol w:w="1602"/>
      </w:tblGrid>
      <w:tr>
        <w:trPr/>
        <w:tc>
          <w:tcPr>
            <w:tcW w:w="15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CONTACT: </w:t>
            </w:r>
          </w:p>
        </w:tc>
        <w:tc>
          <w:tcPr>
            <w:tcW w:w="109" w:type="dxa"/>
            <w:tcBorders/>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c>
          <w:tcPr>
            <w:tcW w:w="109" w:type="dxa"/>
            <w:tcBorders/>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Press)</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Nicole Shevins</w:t>
            </w:r>
          </w:p>
        </w:tc>
        <w:tc>
          <w:tcPr>
            <w:tcW w:w="109" w:type="dxa"/>
            <w:tcBorders/>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Alan Lewis</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Senior Vice President</w:t>
            </w:r>
          </w:p>
        </w:tc>
        <w:tc>
          <w:tcPr>
            <w:tcW w:w="109" w:type="dxa"/>
            <w:tcBorders/>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Head of Global Corporate Communications</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Investor Relations &amp; Corporate Communications </w:t>
            </w:r>
          </w:p>
        </w:tc>
        <w:tc>
          <w:tcPr>
            <w:tcW w:w="109" w:type="dxa"/>
            <w:tcBorders/>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Take-Two Interactive Software, Inc.</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Take-Two Interactive Software, Inc.</w:t>
            </w:r>
          </w:p>
        </w:tc>
        <w:tc>
          <w:tcPr>
            <w:tcW w:w="109" w:type="dxa"/>
            <w:tcBorders/>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(646) 536-2983</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(646) 536-3005</w:t>
            </w:r>
          </w:p>
        </w:tc>
        <w:tc>
          <w:tcPr>
            <w:tcW w:w="109" w:type="dxa"/>
            <w:tcBorders/>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Alan.Lewis@take2games.com</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Nicole.Shevins@take2games.com </w:t>
            </w:r>
          </w:p>
        </w:tc>
        <w:tc>
          <w:tcPr>
            <w:tcW w:w="109" w:type="dxa"/>
            <w:tcBorders/>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Take-Two Interactive Software, Inc. Reports Results for Fiscal First Quarter 2027</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Fiscal first quarter Net Bookings were $1.39 billion, slightly above Company's guidance range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Company updates fiscal year 2027 outlook and reiterates expectation for Net Bookings of $8.0 to $8.2 billion</w:t>
      </w:r>
    </w:p>
    <w:p>
      <w:pPr>
        <w:pStyle w:val="TextBody"/>
        <w:bidi w:val="0"/>
        <w:spacing w:before="0" w:after="0"/>
        <w:jc w:val="center"/>
        <w:rPr/>
      </w:pPr>
      <w:r>
        <w:rPr/>
      </w:r>
    </w:p>
    <w:p>
      <w:pPr>
        <w:pStyle w:val="TextBody"/>
        <w:bidi w:val="0"/>
        <w:spacing w:lineRule="auto" w:line="268" w:before="0" w:after="0"/>
        <w:jc w:val="left"/>
        <w:rPr/>
      </w:pPr>
      <w:r>
        <w:rPr>
          <w:rFonts w:ascii="Arial;sans-serif" w:hAnsi="Arial;sans-serif"/>
          <w:b/>
          <w:color w:val="000000"/>
          <w:sz w:val="20"/>
          <w:u w:val="single"/>
        </w:rPr>
        <w:t>New York, NY – August 7, 2026</w:t>
      </w:r>
      <w:r>
        <w:rPr>
          <w:color w:val="000000"/>
        </w:rPr>
        <w:t xml:space="preserve"> – </w:t>
      </w:r>
      <w:r>
        <w:rPr>
          <w:rFonts w:ascii="Arial;sans-serif" w:hAnsi="Arial;sans-serif"/>
          <w:b w:val="false"/>
          <w:color w:val="000000"/>
          <w:sz w:val="20"/>
        </w:rPr>
        <w:t xml:space="preserve">Take-Two Interactive Software, Inc. (NASDAQ:TTWO) today reported results for the first quarter of its fiscal year 2027, ended June 30, 2026. For further information, please see the first quarter fiscal 2027 results slide deck posted to the Company’s investor relations website at </w:t>
      </w:r>
      <w:r>
        <w:rPr>
          <w:rFonts w:ascii="Arial;sans-serif" w:hAnsi="Arial;sans-serif"/>
          <w:b w:val="false"/>
          <w:color w:val="0000FF"/>
          <w:sz w:val="20"/>
          <w:u w:val="single"/>
        </w:rPr>
        <w:t>take2games.com/ir</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CEO Comments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Strauss Zelnick, Chairman and CEO of Take-Two Interactive, stated: “Our excellent first quarter results reflect the power of our portfolio and disciplined execution across all of our labels. With these positive trends and excitement around the November 19</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launch of </w:t>
      </w:r>
      <w:r>
        <w:rPr>
          <w:rFonts w:ascii="Arial;sans-serif" w:hAnsi="Arial;sans-serif"/>
          <w:b w:val="false"/>
          <w:i/>
          <w:color w:val="000000"/>
          <w:sz w:val="20"/>
        </w:rPr>
        <w:t>Grand Theft Auto VI</w:t>
      </w:r>
      <w:r>
        <w:rPr>
          <w:rFonts w:ascii="Arial;sans-serif" w:hAnsi="Arial;sans-serif"/>
          <w:b w:val="false"/>
          <w:color w:val="000000"/>
          <w:sz w:val="20"/>
        </w:rPr>
        <w:t>, we are reiterating our Fiscal 2027 Net Bookings outlook of $8.0 to $8.2 billion. Looking further ahead, we expect to sustain this new level of scale and generate strong cash flows, setting us on a path to deliver continued growth and long-term shareholder returns.”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First Quarter Fiscal 2027 Financial and Operational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Total Net Bookings* decreased 3%</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$1.39 billion compared to $1.42 billion</w:t>
      </w:r>
      <w:r>
        <w:rPr>
          <w:color w:val="000000"/>
        </w:rPr>
        <w:t xml:space="preserve"> </w:t>
      </w:r>
      <w:r>
        <w:rPr>
          <w:rFonts w:ascii="Arial;sans-serif" w:hAnsi="Arial;sans-serif"/>
          <w:b w:val="false"/>
          <w:color w:val="000000"/>
          <w:sz w:val="20"/>
        </w:rPr>
        <w:t xml:space="preserve">during last year’s fiscal first quarter.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Bookings from recurrent consumer spending** decreased 1%</w:t>
      </w:r>
      <w:r>
        <w:rPr>
          <w:color w:val="000000"/>
        </w:rPr>
        <w:t xml:space="preserve"> </w:t>
      </w:r>
      <w:r>
        <w:rPr>
          <w:rFonts w:ascii="Arial;sans-serif" w:hAnsi="Arial;sans-serif"/>
          <w:b w:val="false"/>
          <w:color w:val="000000"/>
          <w:sz w:val="20"/>
        </w:rPr>
        <w:t>and accounted for 84% of total Net Bookings.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Net Bookings were </w:t>
      </w:r>
      <w:r>
        <w:rPr>
          <w:rFonts w:ascii="Arial;sans-serif" w:hAnsi="Arial;sans-serif"/>
          <w:b w:val="false"/>
          <w:i/>
          <w:color w:val="000000"/>
          <w:sz w:val="20"/>
        </w:rPr>
        <w:t>NBA® 2K,</w:t>
      </w:r>
      <w:r>
        <w:rPr>
          <w:color w:val="000000"/>
        </w:rPr>
        <w:t xml:space="preserve"> </w:t>
      </w:r>
      <w:r>
        <w:rPr>
          <w:rFonts w:ascii="Arial;sans-serif" w:hAnsi="Arial;sans-serif"/>
          <w:b w:val="false"/>
          <w:color w:val="000000"/>
          <w:sz w:val="20"/>
        </w:rPr>
        <w:t xml:space="preserve">the </w:t>
      </w:r>
      <w:r>
        <w:rPr>
          <w:rFonts w:ascii="Arial;sans-serif" w:hAnsi="Arial;sans-serif"/>
          <w:b w:val="false"/>
          <w:i/>
          <w:color w:val="000000"/>
          <w:sz w:val="20"/>
        </w:rPr>
        <w:t xml:space="preserve">Grand Theft Auto® </w:t>
      </w:r>
      <w:r>
        <w:rPr>
          <w:rFonts w:ascii="Arial;sans-serif" w:hAnsi="Arial;sans-serif"/>
          <w:b w:val="false"/>
          <w:color w:val="000000"/>
          <w:sz w:val="20"/>
        </w:rPr>
        <w:t xml:space="preserve">series, </w:t>
      </w:r>
      <w:r>
        <w:rPr>
          <w:rFonts w:ascii="Arial;sans-serif" w:hAnsi="Arial;sans-serif"/>
          <w:b w:val="false"/>
          <w:i/>
          <w:color w:val="000000"/>
          <w:sz w:val="20"/>
        </w:rPr>
        <w:t>Toon Blast™</w:t>
      </w:r>
      <w:r>
        <w:rPr>
          <w:rFonts w:ascii="Arial;sans-serif" w:hAnsi="Arial;sans-serif"/>
          <w:b w:val="false"/>
          <w:color w:val="000000"/>
          <w:sz w:val="20"/>
        </w:rPr>
        <w:t xml:space="preserve">, </w:t>
      </w:r>
      <w:r>
        <w:rPr>
          <w:rFonts w:ascii="Arial;sans-serif" w:hAnsi="Arial;sans-serif"/>
          <w:b w:val="false"/>
          <w:i/>
          <w:color w:val="000000"/>
          <w:sz w:val="20"/>
        </w:rPr>
        <w:t>Match Factory!™</w:t>
      </w:r>
      <w:r>
        <w:rPr>
          <w:rFonts w:ascii="Arial;sans-serif" w:hAnsi="Arial;sans-serif"/>
          <w:b w:val="false"/>
          <w:color w:val="000000"/>
          <w:sz w:val="20"/>
        </w:rPr>
        <w:t xml:space="preserve">, </w:t>
      </w:r>
      <w:r>
        <w:rPr>
          <w:rFonts w:ascii="Arial;sans-serif" w:hAnsi="Arial;sans-serif"/>
          <w:b w:val="false"/>
          <w:i/>
          <w:color w:val="000000"/>
          <w:sz w:val="20"/>
        </w:rPr>
        <w:t xml:space="preserve">Empires &amp; Puzzles™, the Red Dead Redemption® </w:t>
      </w:r>
      <w:r>
        <w:rPr>
          <w:rFonts w:ascii="Arial;sans-serif" w:hAnsi="Arial;sans-serif"/>
          <w:b w:val="false"/>
          <w:color w:val="000000"/>
          <w:sz w:val="20"/>
        </w:rPr>
        <w:t>series</w:t>
      </w:r>
      <w:r>
        <w:rPr>
          <w:rFonts w:ascii="Arial;sans-serif" w:hAnsi="Arial;sans-serif"/>
          <w:b w:val="false"/>
          <w:i/>
          <w:color w:val="000000"/>
          <w:sz w:val="20"/>
        </w:rPr>
        <w:t>, Words With Friends™, Color Block Jam™</w:t>
      </w:r>
      <w:r>
        <w:rPr>
          <w:rFonts w:ascii="Arial;sans-serif" w:hAnsi="Arial;sans-serif"/>
          <w:b w:val="false"/>
          <w:color w:val="000000"/>
          <w:sz w:val="20"/>
        </w:rPr>
        <w:t xml:space="preserve">, </w:t>
      </w:r>
      <w:r>
        <w:rPr>
          <w:rFonts w:ascii="Arial;sans-serif" w:hAnsi="Arial;sans-serif"/>
          <w:b w:val="false"/>
          <w:i/>
          <w:color w:val="000000"/>
          <w:sz w:val="20"/>
        </w:rPr>
        <w:t>WWE® 2K</w:t>
      </w:r>
      <w:r>
        <w:rPr>
          <w:rFonts w:ascii="Arial;sans-serif" w:hAnsi="Arial;sans-serif"/>
          <w:b w:val="false"/>
          <w:color w:val="000000"/>
          <w:sz w:val="20"/>
        </w:rPr>
        <w:t xml:space="preserve">, </w:t>
      </w:r>
      <w:r>
        <w:rPr>
          <w:rFonts w:ascii="Arial;sans-serif" w:hAnsi="Arial;sans-serif"/>
          <w:b w:val="false"/>
          <w:i/>
          <w:color w:val="000000"/>
          <w:sz w:val="20"/>
        </w:rPr>
        <w:t>Zynga Poker™</w:t>
      </w:r>
      <w:r>
        <w:rPr>
          <w:rFonts w:ascii="Arial;sans-serif" w:hAnsi="Arial;sans-serif"/>
          <w:b w:val="false"/>
          <w:color w:val="000000"/>
          <w:sz w:val="20"/>
        </w:rPr>
        <w:t xml:space="preserve">, and </w:t>
      </w:r>
      <w:r>
        <w:rPr>
          <w:rFonts w:ascii="Arial;sans-serif" w:hAnsi="Arial;sans-serif"/>
          <w:b w:val="false"/>
          <w:i/>
          <w:color w:val="000000"/>
          <w:sz w:val="20"/>
        </w:rPr>
        <w:t>Toy Blast™.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GAAP net revenue was $1.53 billion, compared to $1.50 billion in last year’s fiscal first quarter. </w:t>
      </w:r>
    </w:p>
    <w:p>
      <w:pPr>
        <w:pStyle w:val="TextBody"/>
        <w:bidi w:val="0"/>
        <w:spacing w:lineRule="auto" w:line="288"/>
        <w:ind w:left="0" w:right="0" w:hanging="360"/>
        <w:jc w:val="left"/>
        <w:rPr/>
      </w:pPr>
      <w:r>
        <w:rPr>
          <w:color w:val="000000"/>
        </w:rPr>
        <w:t>◦</w:t>
      </w:r>
      <w:r>
        <w:rPr>
          <w:rFonts w:ascii="Arial;sans-serif" w:hAnsi="Arial;sans-serif"/>
          <w:b w:val="false"/>
          <w:color w:val="000000"/>
          <w:sz w:val="20"/>
        </w:rPr>
        <w:t xml:space="preserve">Recurrent consumer spending** increased 3% and accounted for 84% of total GAAP net revenue.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GAAP net revenue were </w:t>
      </w:r>
      <w:r>
        <w:rPr>
          <w:rFonts w:ascii="Arial;sans-serif" w:hAnsi="Arial;sans-serif"/>
          <w:b w:val="false"/>
          <w:i/>
          <w:color w:val="000000"/>
          <w:sz w:val="20"/>
        </w:rPr>
        <w:t xml:space="preserve">NBA 2K, </w:t>
      </w:r>
      <w:r>
        <w:rPr>
          <w:rFonts w:ascii="Arial;sans-serif" w:hAnsi="Arial;sans-serif"/>
          <w:b w:val="false"/>
          <w:color w:val="000000"/>
          <w:sz w:val="20"/>
        </w:rPr>
        <w:t>the</w:t>
      </w:r>
      <w:r>
        <w:rPr>
          <w:color w:val="000000"/>
        </w:rPr>
        <w:t xml:space="preserve"> </w:t>
      </w:r>
      <w:r>
        <w:rPr>
          <w:rFonts w:ascii="Arial;sans-serif" w:hAnsi="Arial;sans-serif"/>
          <w:b w:val="false"/>
          <w:i/>
          <w:color w:val="000000"/>
          <w:sz w:val="20"/>
        </w:rPr>
        <w:t xml:space="preserve">Grand Theft Auto </w:t>
      </w:r>
      <w:r>
        <w:rPr>
          <w:rFonts w:ascii="Arial;sans-serif" w:hAnsi="Arial;sans-serif"/>
          <w:b w:val="false"/>
          <w:color w:val="000000"/>
          <w:sz w:val="20"/>
        </w:rPr>
        <w:t>series</w:t>
      </w:r>
      <w:r>
        <w:rPr>
          <w:rFonts w:ascii="Arial;sans-serif" w:hAnsi="Arial;sans-serif"/>
          <w:b w:val="false"/>
          <w:i/>
          <w:color w:val="000000"/>
          <w:sz w:val="20"/>
        </w:rPr>
        <w:t>,</w:t>
      </w:r>
      <w:r>
        <w:rPr>
          <w:color w:val="000000"/>
        </w:rPr>
        <w:t xml:space="preserve"> </w:t>
      </w:r>
      <w:r>
        <w:rPr>
          <w:rFonts w:ascii="Arial;sans-serif" w:hAnsi="Arial;sans-serif"/>
          <w:b w:val="false"/>
          <w:i/>
          <w:color w:val="000000"/>
          <w:sz w:val="20"/>
        </w:rPr>
        <w:t>Toon Blast</w:t>
      </w:r>
      <w:r>
        <w:rPr>
          <w:rFonts w:ascii="Arial;sans-serif" w:hAnsi="Arial;sans-serif"/>
          <w:b w:val="false"/>
          <w:color w:val="000000"/>
          <w:sz w:val="20"/>
        </w:rPr>
        <w:t xml:space="preserve">, </w:t>
      </w:r>
      <w:r>
        <w:rPr>
          <w:rFonts w:ascii="Arial;sans-serif" w:hAnsi="Arial;sans-serif"/>
          <w:b w:val="false"/>
          <w:i/>
          <w:color w:val="000000"/>
          <w:sz w:val="20"/>
        </w:rPr>
        <w:t>Empires &amp; Puzzles, Match Factory!</w:t>
      </w:r>
      <w:r>
        <w:rPr>
          <w:rFonts w:ascii="Arial;sans-serif" w:hAnsi="Arial;sans-serif"/>
          <w:b w:val="false"/>
          <w:color w:val="000000"/>
          <w:sz w:val="20"/>
        </w:rPr>
        <w:t xml:space="preserve">, the </w:t>
      </w:r>
      <w:r>
        <w:rPr>
          <w:rFonts w:ascii="Arial;sans-serif" w:hAnsi="Arial;sans-serif"/>
          <w:b w:val="false"/>
          <w:i/>
          <w:color w:val="000000"/>
          <w:sz w:val="20"/>
        </w:rPr>
        <w:t xml:space="preserve">Red Dead Redemption </w:t>
      </w:r>
      <w:r>
        <w:rPr>
          <w:rFonts w:ascii="Arial;sans-serif" w:hAnsi="Arial;sans-serif"/>
          <w:b w:val="false"/>
          <w:color w:val="000000"/>
          <w:sz w:val="20"/>
        </w:rPr>
        <w:t>series</w:t>
      </w:r>
      <w:r>
        <w:rPr>
          <w:rFonts w:ascii="Arial;sans-serif" w:hAnsi="Arial;sans-serif"/>
          <w:b w:val="false"/>
          <w:i/>
          <w:color w:val="000000"/>
          <w:sz w:val="20"/>
        </w:rPr>
        <w:t>,</w:t>
      </w:r>
      <w:r>
        <w:rPr>
          <w:color w:val="000000"/>
        </w:rPr>
        <w:t xml:space="preserve"> </w:t>
      </w:r>
      <w:r>
        <w:rPr>
          <w:rFonts w:ascii="Arial;sans-serif" w:hAnsi="Arial;sans-serif"/>
          <w:b w:val="false"/>
          <w:i/>
          <w:color w:val="000000"/>
          <w:sz w:val="20"/>
        </w:rPr>
        <w:t xml:space="preserve">Words With Friends, Color Block Jam, WWE 2K, Zynga Poker, </w:t>
      </w:r>
      <w:r>
        <w:rPr>
          <w:rFonts w:ascii="Arial;sans-serif" w:hAnsi="Arial;sans-serif"/>
          <w:b w:val="false"/>
          <w:color w:val="000000"/>
          <w:sz w:val="20"/>
        </w:rPr>
        <w:t xml:space="preserve">and </w:t>
      </w:r>
      <w:r>
        <w:rPr>
          <w:rFonts w:ascii="Arial;sans-serif" w:hAnsi="Arial;sans-serif"/>
          <w:b w:val="false"/>
          <w:i/>
          <w:color w:val="000000"/>
          <w:sz w:val="20"/>
        </w:rPr>
        <w:t>Merge Dragons™.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GAAP net loss was $34.1 million, or $0.18 per share, as compared to $11.9 million, or $0.07 per share, for the comparable period last year. Cost of revenue included a $43.4 million impairment charge related to the Company's decision not to proceed with further development of an unannounced title in its pipeline from a third-party developer.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Net Bookings is our operational metric and defined as the net amount of products and services sold digitally or sold-in physically during the period, and includes licensing fees, merchandise, in-game advertising, strategy guides and publisher incentives.</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Recurrent consumer spending is generated from ongoing consumer engagement and includes virtual currency, add-on content, in-game purchases and in-game advertising.</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First Quarter Fiscal 2027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data is used internally by the Company’s management and Board of Directors to adjust the Company’s GAAP and Non-GAAP financial results in order to facilitate comparison of its operating performance between periods and to better understand its core business: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5"/>
        <w:gridCol w:w="319"/>
        <w:gridCol w:w="320"/>
        <w:gridCol w:w="109"/>
        <w:gridCol w:w="109"/>
        <w:gridCol w:w="109"/>
        <w:gridCol w:w="219"/>
        <w:gridCol w:w="791"/>
        <w:gridCol w:w="122"/>
        <w:gridCol w:w="109"/>
        <w:gridCol w:w="109"/>
        <w:gridCol w:w="109"/>
        <w:gridCol w:w="411"/>
        <w:gridCol w:w="411"/>
        <w:gridCol w:w="413"/>
        <w:gridCol w:w="109"/>
        <w:gridCol w:w="109"/>
        <w:gridCol w:w="109"/>
        <w:gridCol w:w="456"/>
        <w:gridCol w:w="456"/>
        <w:gridCol w:w="458"/>
        <w:gridCol w:w="109"/>
        <w:gridCol w:w="109"/>
        <w:gridCol w:w="109"/>
        <w:gridCol w:w="452"/>
        <w:gridCol w:w="452"/>
        <w:gridCol w:w="454"/>
        <w:gridCol w:w="109"/>
        <w:gridCol w:w="109"/>
        <w:gridCol w:w="109"/>
        <w:gridCol w:w="109"/>
        <w:gridCol w:w="109"/>
        <w:gridCol w:w="362"/>
        <w:gridCol w:w="362"/>
        <w:gridCol w:w="363"/>
        <w:gridCol w:w="109"/>
        <w:gridCol w:w="109"/>
        <w:gridCol w:w="109"/>
        <w:gridCol w:w="181"/>
        <w:gridCol w:w="181"/>
        <w:gridCol w:w="267"/>
      </w:tblGrid>
      <w:tr>
        <w:trPr/>
        <w:tc>
          <w:tcPr>
            <w:tcW w:w="5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8"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956" w:type="dxa"/>
            <w:gridSpan w:val="6"/>
            <w:tcBorders/>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9"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 Data</w:t>
            </w:r>
          </w:p>
        </w:tc>
        <w:tc>
          <w:tcPr>
            <w:tcW w:w="956" w:type="dxa"/>
            <w:gridSpan w:val="6"/>
            <w:tcBorders/>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deferred net revenue and related 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Stock-based compensation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Amortization of acquired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Business acquisition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Other </w:t>
            </w:r>
            <w:r>
              <w:rPr>
                <w:rFonts w:ascii="Arial;sans-serif" w:hAnsi="Arial;sans-serif"/>
                <w:b/>
                <w:color w:val="000000"/>
                <w:sz w:val="10"/>
              </w:rPr>
              <w:t>(a)</w:t>
            </w:r>
          </w:p>
        </w:tc>
      </w:tr>
      <w:tr>
        <w:trPr/>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1,533.9</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882.5</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154.9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(35.5)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168.4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r>
      <w:tr>
        <w:trPr/>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(49.3)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168.4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3.2</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167.0</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3.2</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above table utilizes a management tax rate of 18%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Share count used to calculate management reporting diluted net income per share is 187.8 million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Other includes adjustments for (i) the revaluation of the Turkish Lira against the U.S. Dollar, (ii) fair value adjustments related to certain equity investments, and (iii) a gain from the sale of marketable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0"/>
          <w:u w:val="single"/>
        </w:rPr>
      </w:pPr>
      <w:r>
        <w:rPr>
          <w:rFonts w:ascii="Arial;sans-serif" w:hAnsi="Arial;sans-serif"/>
          <w:b/>
          <w:color w:val="000000"/>
          <w:sz w:val="20"/>
          <w:u w:val="single"/>
        </w:rPr>
        <w:t>Outlook for Fiscal Year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Take-Two is updating its outlook for the fiscal year and providing its initial outlook for its fiscal second quarter ending September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Fiscal Year Ending March 31,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1"/>
        <w:gridCol w:w="431"/>
        <w:gridCol w:w="434"/>
        <w:gridCol w:w="109"/>
        <w:gridCol w:w="109"/>
        <w:gridCol w:w="109"/>
        <w:gridCol w:w="516"/>
        <w:gridCol w:w="516"/>
        <w:gridCol w:w="383"/>
        <w:gridCol w:w="112"/>
        <w:gridCol w:w="112"/>
        <w:gridCol w:w="112"/>
        <w:gridCol w:w="528"/>
        <w:gridCol w:w="528"/>
        <w:gridCol w:w="530"/>
        <w:gridCol w:w="112"/>
        <w:gridCol w:w="112"/>
        <w:gridCol w:w="112"/>
        <w:gridCol w:w="504"/>
        <w:gridCol w:w="504"/>
        <w:gridCol w:w="505"/>
        <w:gridCol w:w="112"/>
        <w:gridCol w:w="112"/>
        <w:gridCol w:w="112"/>
        <w:gridCol w:w="112"/>
        <w:gridCol w:w="112"/>
        <w:gridCol w:w="513"/>
        <w:gridCol w:w="513"/>
        <w:gridCol w:w="514"/>
        <w:gridCol w:w="109"/>
        <w:gridCol w:w="109"/>
        <w:gridCol w:w="109"/>
        <w:gridCol w:w="184"/>
        <w:gridCol w:w="184"/>
        <w:gridCol w:w="281"/>
      </w:tblGrid>
      <w:tr>
        <w:trPr/>
        <w:tc>
          <w:tcPr>
            <w:tcW w:w="75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Fiscal Year Ending March 31, 2027</w:t>
            </w:r>
          </w:p>
        </w:tc>
        <w:tc>
          <w:tcPr>
            <w:tcW w:w="976" w:type="dxa"/>
            <w:gridSpan w:val="6"/>
            <w:tcBorders/>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Financial Data</w:t>
            </w:r>
          </w:p>
        </w:tc>
        <w:tc>
          <w:tcPr>
            <w:tcW w:w="976" w:type="dxa"/>
            <w:gridSpan w:val="6"/>
            <w:tcBorders/>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 in millions except for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 xml:space="preserve">Outlook </w:t>
            </w:r>
            <w:r>
              <w:rPr>
                <w:rFonts w:ascii="Arial;sans-serif" w:hAnsi="Arial;sans-serif"/>
                <w:b/>
                <w:color w:val="000000"/>
                <w:sz w:val="12"/>
              </w:rPr>
              <w:t>(b)</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 in deferred net revenue and related cost of revenue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Stock-based compensation</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Amortization of acquired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Other</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$7,900 to $8,100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$3,538 to $3,658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$(83)</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$4,150 to $4,170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$(349)</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$53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$(8)</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$159 to $219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$110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$432</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$8</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$104 to $143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Diluted net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$0.55 to $0.75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Net cash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over $1,000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approximately $290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$993 to $1,053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$110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$432</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Operational metric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$8,000 to $8,200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 reporting tax rate anticipated to be 18%</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Share count used to calculate GAAP and management reporting diluted net income per share is expected to be 189.4 million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 xml:space="preserve">(b) </w:t>
      </w:r>
      <w:r>
        <w:rPr>
          <w:rFonts w:ascii="Arial;sans-serif" w:hAnsi="Arial;sans-serif"/>
          <w:b w:val="false"/>
          <w:color w:val="000000"/>
          <w:sz w:val="20"/>
        </w:rPr>
        <w:t>The individual components of the financial outlook may not foot to the totals, as the Company does not expect actual results for every component to be at the low end or high end of the outlook range simultaneously.</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i/>
          <w:color w:val="000000"/>
          <w:sz w:val="20"/>
        </w:rPr>
        <w:t>Fiscal Second</w:t>
      </w:r>
      <w:r>
        <w:rPr>
          <w:color w:val="000000"/>
        </w:rPr>
        <w:t xml:space="preserve"> </w:t>
      </w:r>
      <w:r>
        <w:rPr>
          <w:rFonts w:ascii="Arial;sans-serif" w:hAnsi="Arial;sans-serif"/>
          <w:b/>
          <w:i/>
          <w:color w:val="000000"/>
          <w:sz w:val="20"/>
        </w:rPr>
        <w:t>Quarter Ending September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0"/>
        <w:gridCol w:w="478"/>
        <w:gridCol w:w="481"/>
        <w:gridCol w:w="109"/>
        <w:gridCol w:w="109"/>
        <w:gridCol w:w="109"/>
        <w:gridCol w:w="311"/>
        <w:gridCol w:w="311"/>
        <w:gridCol w:w="313"/>
        <w:gridCol w:w="114"/>
        <w:gridCol w:w="114"/>
        <w:gridCol w:w="114"/>
        <w:gridCol w:w="603"/>
        <w:gridCol w:w="603"/>
        <w:gridCol w:w="605"/>
        <w:gridCol w:w="114"/>
        <w:gridCol w:w="114"/>
        <w:gridCol w:w="114"/>
        <w:gridCol w:w="523"/>
        <w:gridCol w:w="523"/>
        <w:gridCol w:w="524"/>
        <w:gridCol w:w="114"/>
        <w:gridCol w:w="114"/>
        <w:gridCol w:w="114"/>
        <w:gridCol w:w="547"/>
        <w:gridCol w:w="547"/>
        <w:gridCol w:w="548"/>
        <w:gridCol w:w="114"/>
        <w:gridCol w:w="114"/>
        <w:gridCol w:w="114"/>
        <w:gridCol w:w="195"/>
        <w:gridCol w:w="195"/>
        <w:gridCol w:w="196"/>
        <w:gridCol w:w="109"/>
        <w:gridCol w:w="168"/>
      </w:tblGrid>
      <w:tr>
        <w:trPr/>
        <w:tc>
          <w:tcPr>
            <w:tcW w:w="7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Three Months Ending September 30, 2026</w:t>
            </w:r>
          </w:p>
        </w:tc>
        <w:tc>
          <w:tcPr>
            <w:tcW w:w="277" w:type="dxa"/>
            <w:gridSpan w:val="2"/>
            <w:tcBorders/>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Financial Data</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 in millions except for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 xml:space="preserve">Outlook </w:t>
            </w:r>
            <w:r>
              <w:rPr>
                <w:rFonts w:ascii="Arial;sans-serif" w:hAnsi="Arial;sans-serif"/>
                <w:b/>
                <w:color w:val="000000"/>
                <w:sz w:val="12"/>
              </w:rPr>
              <w:t>(b)</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 in deferred net revenue and related cost of revenue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Stock-based compensation</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Amortization of acquired intangibles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GAAP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$1,420 to $1,470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$622 to $638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$(136)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$1,009 to $1,019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$(86)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$(224) to $(200)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$190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$90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$149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$(157) to $(140)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$(0.84) to $(0.75)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$(20) to $4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$190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$90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Operational metric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$1,620 to $1,670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Management reporting tax rate anticipated to be 18%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Share count used to calculate GAAP net loss per share is expected to be 187.1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Share count used to calculate management reporting diluted net income per share is expected to be 188.5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 xml:space="preserve">(b) </w:t>
      </w:r>
      <w:r>
        <w:rPr>
          <w:rFonts w:ascii="Arial;sans-serif" w:hAnsi="Arial;sans-serif"/>
          <w:b w:val="false"/>
          <w:color w:val="000000"/>
          <w:sz w:val="20"/>
        </w:rPr>
        <w:t xml:space="preserve">The individual components of the financial outlook may not foot to the totals, as the Company does not expect actual results for every component to be at the low end or high end of the outlook range simultaneously.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Key assumptions and dependencies underlying the Company’s outlook include: a continuation of the current economic backdrop; the timely delivery of the titles included in this financial outlook; continued growth in the installed base of PlayStation 5 and Xbox Series X|S; the ability to develop and publish products that capture market share for these current generation systems while also leveraging opportunities on PC, mobile and other platforms; factors affecting our performance on mobile, such as player acquisition costs; our ongoing focus on our live services portfolio and new game pipeline; and stable foreign exchange rates. See also “Cautionary Note Regarding Forward Looking Statements”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Product Releases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have been released since April 1, 2026: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96"/>
        <w:gridCol w:w="438"/>
        <w:gridCol w:w="444"/>
        <w:gridCol w:w="1459"/>
        <w:gridCol w:w="1459"/>
        <w:gridCol w:w="1464"/>
        <w:gridCol w:w="1057"/>
        <w:gridCol w:w="1057"/>
        <w:gridCol w:w="1059"/>
        <w:gridCol w:w="371"/>
        <w:gridCol w:w="371"/>
        <w:gridCol w:w="530"/>
      </w:tblGrid>
      <w:tr>
        <w:trPr/>
        <w:tc>
          <w:tcPr>
            <w:tcW w:w="4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Label</w:t>
            </w:r>
          </w:p>
        </w:tc>
        <w:tc>
          <w:tcPr>
            <w:tcW w:w="4382"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Product</w:t>
            </w:r>
          </w:p>
        </w:tc>
        <w:tc>
          <w:tcPr>
            <w:tcW w:w="3173"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Platforms</w:t>
            </w:r>
          </w:p>
        </w:tc>
        <w:tc>
          <w:tcPr>
            <w:tcW w:w="1272"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Release Date</w:t>
            </w:r>
          </w:p>
        </w:tc>
      </w:tr>
      <w:tr>
        <w:trPr/>
        <w:tc>
          <w:tcPr>
            <w:tcW w:w="137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Rockstar Games</w:t>
            </w:r>
          </w:p>
        </w:tc>
        <w:tc>
          <w:tcPr>
            <w:tcW w:w="43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8"/>
              </w:rPr>
              <w:t xml:space="preserve">Grand Theft Auto Online Kortz Center Heist </w:t>
            </w:r>
            <w:r>
              <w:rPr>
                <w:rFonts w:ascii="Arial;sans-serif" w:hAnsi="Arial;sans-serif"/>
                <w:b w:val="false"/>
                <w:color w:val="000000"/>
                <w:sz w:val="18"/>
              </w:rPr>
              <w:t>Summer Update</w:t>
            </w:r>
          </w:p>
        </w:tc>
        <w:tc>
          <w:tcPr>
            <w:tcW w:w="31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PS4, PS5, Xbox One, Xbox Series X|S, PC</w:t>
            </w:r>
          </w:p>
        </w:tc>
        <w:tc>
          <w:tcPr>
            <w:tcW w:w="127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July 14, 2026</w:t>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4382"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4382"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4382"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4382"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4382"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4382"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4382"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4382"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Take-Two's future lineup announced to-date includes:</w:t>
      </w:r>
    </w:p>
    <w:tbl>
      <w:tblPr>
        <w:tblW w:w="8428" w:type="dxa"/>
        <w:jc w:val="center"/>
        <w:tblInd w:w="0" w:type="dxa"/>
        <w:tblLayout w:type="fixed"/>
        <w:tblCellMar>
          <w:top w:w="28" w:type="dxa"/>
          <w:left w:w="28" w:type="dxa"/>
          <w:bottom w:w="28" w:type="dxa"/>
          <w:right w:w="28" w:type="dxa"/>
        </w:tblCellMar>
      </w:tblPr>
      <w:tblGrid>
        <w:gridCol w:w="610"/>
        <w:gridCol w:w="538"/>
        <w:gridCol w:w="546"/>
        <w:gridCol w:w="659"/>
        <w:gridCol w:w="659"/>
        <w:gridCol w:w="662"/>
        <w:gridCol w:w="994"/>
        <w:gridCol w:w="994"/>
        <w:gridCol w:w="997"/>
        <w:gridCol w:w="518"/>
        <w:gridCol w:w="518"/>
        <w:gridCol w:w="733"/>
      </w:tblGrid>
      <w:tr>
        <w:trPr/>
        <w:tc>
          <w:tcPr>
            <w:tcW w:w="6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Label</w:t>
            </w:r>
          </w:p>
        </w:tc>
        <w:tc>
          <w:tcPr>
            <w:tcW w:w="1980"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Product</w:t>
            </w:r>
          </w:p>
        </w:tc>
        <w:tc>
          <w:tcPr>
            <w:tcW w:w="298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Platforms</w:t>
            </w:r>
          </w:p>
        </w:tc>
        <w:tc>
          <w:tcPr>
            <w:tcW w:w="1769"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Release Date</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NBA 2K27</w:t>
            </w:r>
          </w:p>
        </w:tc>
        <w:tc>
          <w:tcPr>
            <w:tcW w:w="2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 Switch 2, PC</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September 4, 2026</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Rockstar Games</w:t>
            </w:r>
          </w:p>
        </w:tc>
        <w:tc>
          <w:tcPr>
            <w:tcW w:w="19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Grand Theft Auto VI</w:t>
            </w:r>
          </w:p>
        </w:tc>
        <w:tc>
          <w:tcPr>
            <w:tcW w:w="2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19, 2026</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PGA TOUR 2K27</w:t>
            </w:r>
          </w:p>
        </w:tc>
        <w:tc>
          <w:tcPr>
            <w:tcW w:w="2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WWE 2K27</w:t>
            </w:r>
          </w:p>
        </w:tc>
        <w:tc>
          <w:tcPr>
            <w:tcW w:w="2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Zynga</w:t>
            </w:r>
          </w:p>
        </w:tc>
        <w:tc>
          <w:tcPr>
            <w:tcW w:w="19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Top Goal</w:t>
            </w:r>
          </w:p>
        </w:tc>
        <w:tc>
          <w:tcPr>
            <w:tcW w:w="2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iOS, Android</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Zynga</w:t>
            </w:r>
          </w:p>
        </w:tc>
        <w:tc>
          <w:tcPr>
            <w:tcW w:w="19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CSR 3</w:t>
            </w:r>
          </w:p>
        </w:tc>
        <w:tc>
          <w:tcPr>
            <w:tcW w:w="2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iOS, Android</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Ghost Story Games</w:t>
            </w:r>
          </w:p>
        </w:tc>
        <w:tc>
          <w:tcPr>
            <w:tcW w:w="19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Judas</w:t>
            </w:r>
          </w:p>
        </w:tc>
        <w:tc>
          <w:tcPr>
            <w:tcW w:w="2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 PC</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Project ETHOS</w:t>
            </w:r>
          </w:p>
        </w:tc>
        <w:tc>
          <w:tcPr>
            <w:tcW w:w="29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8"/>
              </w:rPr>
              <w:t xml:space="preserve">BioShock </w:t>
            </w:r>
            <w:r>
              <w:rPr>
                <w:rFonts w:ascii="Arial;sans-serif" w:hAnsi="Arial;sans-serif"/>
                <w:b w:val="false"/>
                <w:color w:val="000000"/>
                <w:sz w:val="18"/>
              </w:rPr>
              <w:t>next iteration</w:t>
            </w:r>
          </w:p>
        </w:tc>
        <w:tc>
          <w:tcPr>
            <w:tcW w:w="29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c>
          <w:tcPr>
            <w:tcW w:w="17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Conference Call</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Take-Two will host a conference call today at 8:00 a.m. Eastern Time to review these results and discuss other topics. The call can be accessed by dialing (833) 461-5787 (Meeting ID: 773792521). A live listen-only webcast of the call will be available by visiting </w:t>
      </w:r>
      <w:r>
        <w:rPr>
          <w:rFonts w:ascii="Arial;sans-serif" w:hAnsi="Arial;sans-serif"/>
          <w:b w:val="false"/>
          <w:color w:val="0000FF"/>
          <w:sz w:val="20"/>
          <w:u w:val="single"/>
        </w:rPr>
        <w:t>http://ir.take2games.com</w:t>
      </w:r>
      <w:r>
        <w:rPr>
          <w:color w:val="000000"/>
        </w:rPr>
        <w:t xml:space="preserve"> </w:t>
      </w:r>
      <w:r>
        <w:rPr>
          <w:rFonts w:ascii="Arial;sans-serif" w:hAnsi="Arial;sans-serif"/>
          <w:b w:val="false"/>
          <w:color w:val="000000"/>
          <w:sz w:val="20"/>
        </w:rPr>
        <w:t xml:space="preserve">and a replay will be available following the call at the same location.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Non-GAAP Financial Measure</w:t>
      </w:r>
    </w:p>
    <w:p>
      <w:pPr>
        <w:pStyle w:val="TextBody"/>
        <w:bidi w:val="0"/>
        <w:spacing w:lineRule="auto" w:line="288" w:before="0" w:after="0"/>
        <w:jc w:val="left"/>
        <w:rPr/>
      </w:pPr>
      <w:r>
        <w:rPr>
          <w:rFonts w:ascii="Arial;sans-serif" w:hAnsi="Arial;sans-serif"/>
          <w:b w:val="false"/>
          <w:color w:val="000000"/>
          <w:sz w:val="20"/>
        </w:rPr>
        <w:t xml:space="preserve">In addition to reporting financial results in accordance with U.S. generally accepted accounting principles (GAAP), the Company uses a Non-GAAP measure of financial performance: </w:t>
      </w:r>
      <w:r>
        <w:rPr>
          <w:rFonts w:ascii="Arial;sans-serif" w:hAnsi="Arial;sans-serif"/>
          <w:b/>
          <w:i/>
          <w:color w:val="000000"/>
          <w:sz w:val="20"/>
        </w:rPr>
        <w:t>EBITDA</w:t>
      </w:r>
      <w:r>
        <w:rPr>
          <w:rFonts w:ascii="Arial;sans-serif" w:hAnsi="Arial;sans-serif"/>
          <w:b w:val="false"/>
          <w:color w:val="000000"/>
          <w:sz w:val="20"/>
        </w:rPr>
        <w:t xml:space="preserve">, which is defined as GAAP net income (loss) excluding interest income (expense), provision for (benefit from) income taxes, depreciation expense, and amortization and impairment of acquired intangibles.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Company’s management believes it is important to consider EBITDA, in addition to net income, as it removes the effect of certain non-cash expenses, debt-related charges, and income taxes. Management believes that, when considered together with reported amounts, EBITDA is useful to investors and management in understanding the Company’s ongoing operations and in analysis of ongoing operating trends and provides useful additional information relating to the Company’s operations and financial condition.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This Non-GAAP financial measure is not intended to be considered in isolation from, as a substitute for, or superior to, GAAP results. This Non-GAAP financial measure may be different from similarly titled measures used by other companies. In the future, Take-Two may also consider whether other items 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Final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financial results discussed herein are presented on a preliminary basis; final data will be included in Take-Two’s Quarterly Report on Form 10-Q for the period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About Take-Two Interactive Software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Headquartered in New York City, Take-Two Interactive Software, Inc. is a leading developer, publisher, and marketer of interactive entertainment for consumers around the globe. We develop and publish products principally through Rockstar Games, 2K, and Zynga. Our strategy is to create hit entertainment experiences, delivered on every platform relevant to our audience through a variety of sound business models. Our pillars - creativity, innovation, and efficiency - guide us as we strive to create the highest quality, most captivating experiences for our consumers. The Company’s common stock is publicly traded on NASDAQ under the symbol TTWO. For more corporate and product information please visit our website at </w:t>
      </w:r>
      <w:r>
        <w:rPr>
          <w:rFonts w:ascii="Arial;sans-serif" w:hAnsi="Arial;sans-serif"/>
          <w:b w:val="false"/>
          <w:color w:val="0000FF"/>
          <w:sz w:val="20"/>
          <w:u w:val="single"/>
        </w:rPr>
        <w:t>http://www.take2games.com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All trademarks and copyrights contained herein are the property of their respective 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Cautionary Note Regarding Forward-Looking Statements</w:t>
      </w:r>
    </w:p>
    <w:p>
      <w:pPr>
        <w:pStyle w:val="TextBody"/>
        <w:bidi w:val="0"/>
        <w:spacing w:lineRule="auto" w:line="288" w:before="0" w:after="0"/>
        <w:jc w:val="left"/>
        <w:rPr/>
      </w:pPr>
      <w:r>
        <w:rPr>
          <w:rFonts w:ascii="Arial;sans-serif" w:hAnsi="Arial;sans-serif"/>
          <w:b w:val="false"/>
          <w:color w:val="000000"/>
          <w:sz w:val="20"/>
        </w:rPr>
        <w:t xml:space="preserve">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Arial;sans-serif" w:hAnsi="Arial;sans-serif"/>
          <w:b w:val="false"/>
          <w:i/>
          <w:color w:val="000000"/>
          <w:sz w:val="20"/>
        </w:rPr>
        <w:t>NBA 2K</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Grand Theft Auto</w:t>
      </w:r>
      <w:r>
        <w:rPr>
          <w:color w:val="000000"/>
        </w:rPr>
        <w:t xml:space="preserve"> </w:t>
      </w:r>
      <w:r>
        <w:rPr>
          <w:rFonts w:ascii="Arial;sans-serif" w:hAnsi="Arial;sans-serif"/>
          <w:b w:val="false"/>
          <w:color w:val="000000"/>
          <w:sz w:val="20"/>
        </w:rPr>
        <w:t>products and our ability to develop other hit titles; our ability to leverage opportunities on PlayStation®5 and Xbox Series X|S; factors affecting our mobile business, such as player acquisition costs; and the ability to maintain acceptable pricing levels on our games.</w:t>
      </w:r>
    </w:p>
    <w:p>
      <w:pPr>
        <w:pStyle w:val="TextBody"/>
        <w:bidi w:val="0"/>
        <w:spacing w:lineRule="auto" w:line="288" w:before="0" w:after="0"/>
        <w:jc w:val="left"/>
        <w:rPr/>
      </w:pPr>
      <w:r>
        <w:rPr>
          <w:rFonts w:ascii="Arial;sans-serif" w:hAnsi="Arial;sans-serif"/>
          <w:b w:val="false"/>
          <w:color w:val="000000"/>
          <w:sz w:val="20"/>
        </w:rPr>
        <w:t xml:space="preserve">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t>
      </w:r>
      <w:r>
        <w:rPr>
          <w:rFonts w:ascii="Arial;sans-serif" w:hAnsi="Arial;sans-serif"/>
          <w:b w:val="false"/>
          <w:color w:val="0000FF"/>
          <w:sz w:val="20"/>
          <w:u w:val="single"/>
        </w:rPr>
        <w:t>www.take2games.com</w:t>
      </w:r>
      <w:r>
        <w:rPr>
          <w:rFonts w:ascii="Arial;sans-serif" w:hAnsi="Arial;sans-serif"/>
          <w:b w:val="false"/>
          <w:color w:val="000000"/>
          <w:sz w:val="20"/>
        </w:rPr>
        <w:t>. All forward-looking statements are qualified by these cautionary statements and apply only as of the date they are made. The Company undertakes no obligation to update any forward-looking statement, whether as a result of new information, future events or otherwise.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186" w:type="dxa"/>
        <w:jc w:val="left"/>
        <w:tblInd w:w="0" w:type="dxa"/>
        <w:tblLayout w:type="fixed"/>
        <w:tblCellMar>
          <w:top w:w="28" w:type="dxa"/>
          <w:left w:w="28" w:type="dxa"/>
          <w:bottom w:w="28" w:type="dxa"/>
          <w:right w:w="28" w:type="dxa"/>
        </w:tblCellMar>
      </w:tblPr>
      <w:tblGrid>
        <w:gridCol w:w="1260"/>
        <w:gridCol w:w="1109"/>
        <w:gridCol w:w="1111"/>
        <w:gridCol w:w="238"/>
        <w:gridCol w:w="238"/>
        <w:gridCol w:w="238"/>
        <w:gridCol w:w="462"/>
        <w:gridCol w:w="1715"/>
        <w:gridCol w:w="238"/>
        <w:gridCol w:w="238"/>
        <w:gridCol w:w="238"/>
        <w:gridCol w:w="238"/>
        <w:gridCol w:w="462"/>
        <w:gridCol w:w="1682"/>
        <w:gridCol w:w="238"/>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TAKE-TWO INTERACTIVE SOFTWARE, INC.</w:t>
            </w:r>
          </w:p>
        </w:tc>
        <w:tc>
          <w:tcPr>
            <w:tcW w:w="481" w:type="dxa"/>
            <w:gridSpan w:val="4"/>
            <w:tcBorders/>
          </w:tcPr>
          <w:p>
            <w:pPr>
              <w:pStyle w:val="TableContents"/>
              <w:bidi w:val="0"/>
              <w:spacing w:before="0" w:after="283"/>
              <w:jc w:val="left"/>
              <w:rPr>
                <w:sz w:val="4"/>
                <w:szCs w:val="4"/>
              </w:rPr>
            </w:pPr>
            <w:r>
              <w:rPr>
                <w:sz w:val="4"/>
                <w:szCs w:val="4"/>
              </w:rPr>
            </w:r>
          </w:p>
        </w:tc>
      </w:tr>
      <w:tr>
        <w:trPr/>
        <w:tc>
          <w:tcPr>
            <w:tcW w:w="97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97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Game</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1,422.8</w:t>
            </w: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111.1</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1,533.9</w:t>
            </w:r>
            <w:r>
              <w:rPr>
                <w:color w:val="000000"/>
              </w:rPr>
              <w:t>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187.8</w:t>
            </w: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Game intangibles</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154.3</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 costs and royalties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135.1</w:t>
            </w: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99.5</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royalties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74.7</w:t>
            </w: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651.4</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882.5</w:t>
            </w:r>
            <w:r>
              <w:rPr>
                <w:color w:val="000000"/>
              </w:rPr>
              <w:t>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369.7</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273.8</w:t>
            </w: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226.3</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w:t>
            </w: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918.0</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(35.5)</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22.8</w:t>
            </w: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(49.3)</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(34.1)</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per share:</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(0.18)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186.2</w:t>
            </w: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9"/>
        <w:gridCol w:w="2015"/>
        <w:gridCol w:w="2022"/>
        <w:gridCol w:w="135"/>
        <w:gridCol w:w="135"/>
        <w:gridCol w:w="135"/>
        <w:gridCol w:w="245"/>
        <w:gridCol w:w="885"/>
        <w:gridCol w:w="135"/>
        <w:gridCol w:w="135"/>
        <w:gridCol w:w="135"/>
        <w:gridCol w:w="135"/>
        <w:gridCol w:w="245"/>
        <w:gridCol w:w="867"/>
        <w:gridCol w:w="202"/>
      </w:tblGrid>
      <w:tr>
        <w:trPr/>
        <w:tc>
          <w:tcPr>
            <w:tcW w:w="277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TAKE-TWO INTERACTIVE SOFTWARE,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c>
      </w:tr>
      <w:tr>
        <w:trPr/>
        <w:tc>
          <w:tcPr>
            <w:tcW w:w="6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March 31, 2026</w:t>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1,364.9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1,545.5 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461.7</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$0.8 and $0.9 at June 30, 2026 and March 31, 2026, respectively</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606.9</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 and licenses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69.7</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403.9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2,957.1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3,199.5 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assets, net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429.6</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Right-of-use assets </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321.9</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 and licenses, net of current portion</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2,395.0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2,277.5 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1,060.9</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1,493.6</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restricted cash and cash equivalents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67.2</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338.9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9,064.2</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9,383.2 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179.5</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914.3</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988.4</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71.5</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629.9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2,783.6</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2,588.8 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1,889.8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2,488.0 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deferred revenue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26.1</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lease liabilities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353.5</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software development royalties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71.1</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197.9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133.8</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5,455.8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5,872.3 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 shares authorized: no shares issued and outstanding at June 30, 2026 and March 31, 2026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300.0 and 300.0 shares authorized; 210.7 and 209.1 shares issued and 187.0 and 185.4 outstanding at June 30, 2026 and March 31, 2026, respectively</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12,095.8</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11,953.7 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23.7 and 23.7 common shares at June 30, 2026 and March 31, 2026, respectively</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(1,020.6)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(7,391.1)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(7,357.0)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(77.8)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3,608.4</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3,510.9 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9,064.2</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9,383.2 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40"/>
        <w:gridCol w:w="1641"/>
        <w:gridCol w:w="1648"/>
        <w:gridCol w:w="196"/>
        <w:gridCol w:w="196"/>
        <w:gridCol w:w="196"/>
        <w:gridCol w:w="355"/>
        <w:gridCol w:w="1280"/>
        <w:gridCol w:w="196"/>
        <w:gridCol w:w="196"/>
        <w:gridCol w:w="196"/>
        <w:gridCol w:w="196"/>
        <w:gridCol w:w="355"/>
        <w:gridCol w:w="1253"/>
        <w:gridCol w:w="196"/>
        <w:gridCol w:w="165"/>
      </w:tblGrid>
      <w:tr>
        <w:trPr/>
        <w:tc>
          <w:tcPr>
            <w:tcW w:w="194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TAKE-TWO INTERACTIVE SOFTWARE, INC.</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and impairment of software development costs and licenses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107.5</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86.0</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14.5</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and impairment of intangibles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168.5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40.1</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30.4</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130.0</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 and licenses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other current and other non-current assets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(174.9)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(168.8)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bank-time deposits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fixed assets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long-term investments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 acquisitions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marketable securities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 related to net share settlements on restricted stock awards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31.8</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exchange rates on cash, cash equivalents, and restricted cash and cash equivalents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 and cash equivalents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Cash, cash equivalents, and restricted cash and cash equivalents, beginning of year </w:t>
            </w:r>
            <w:r>
              <w:rPr>
                <w:rFonts w:ascii="Times New Roman;serif" w:hAnsi="Times New Roman;serif"/>
                <w:b w:val="false"/>
                <w:color w:val="000000"/>
                <w:sz w:val="12"/>
              </w:rPr>
              <w:t>(1)</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1,638.1</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Cash, cash equivalents, and restricted cash and cash equivalents, end of period </w:t>
            </w:r>
            <w:r>
              <w:rPr>
                <w:rFonts w:ascii="Times New Roman;serif" w:hAnsi="Times New Roman;serif"/>
                <w:b w:val="false"/>
                <w:color w:val="000000"/>
                <w:sz w:val="12"/>
              </w:rPr>
              <w:t>(1)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1,446.1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Cash, cash equivalents and restricted cash and cash equivalents shown on our Condensed Consolidated Statements of Cash Flow includes amounts in the Cash and cash equivalents, Restricted cash and cash equivalents, and Long-term restricted cash and cash equivalents on our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0"/>
        <w:gridCol w:w="726"/>
        <w:gridCol w:w="730"/>
        <w:gridCol w:w="188"/>
        <w:gridCol w:w="188"/>
        <w:gridCol w:w="188"/>
        <w:gridCol w:w="365"/>
        <w:gridCol w:w="1353"/>
        <w:gridCol w:w="188"/>
        <w:gridCol w:w="188"/>
        <w:gridCol w:w="188"/>
        <w:gridCol w:w="188"/>
        <w:gridCol w:w="305"/>
        <w:gridCol w:w="214"/>
        <w:gridCol w:w="521"/>
        <w:gridCol w:w="188"/>
        <w:gridCol w:w="188"/>
        <w:gridCol w:w="188"/>
        <w:gridCol w:w="365"/>
        <w:gridCol w:w="1326"/>
        <w:gridCol w:w="188"/>
        <w:gridCol w:w="109"/>
        <w:gridCol w:w="109"/>
        <w:gridCol w:w="109"/>
        <w:gridCol w:w="249"/>
        <w:gridCol w:w="217"/>
        <w:gridCol w:w="469"/>
      </w:tblGrid>
      <w:tr>
        <w:trPr/>
        <w:tc>
          <w:tcPr>
            <w:tcW w:w="97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8943"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3"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 and Net Bookings by Content, Platform Mix, Distribution Channel, and Geographic 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 by content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Recurrent consumer spending</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1,289.8</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Full game and other</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244.1</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1,533.9</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Bookings by content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Recurrent consumer spending</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1,169.4</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Full game and other</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216.5</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Bookings</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1,385.9</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revenue by platform </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762.3</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Console</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640.5</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PC and other</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131.1</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1,533.9</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Bookings by platform </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739.5</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Console</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525.2</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PC and other</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121.2</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Bookings</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1,385.9</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 by distribution channel</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online</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1,507.3</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Physical retail and other</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26.6</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1,533.9</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Bookings by distribution channel</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online</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1,368.6</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Physical retail and other</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Bookings</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1,385.9</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 by geographic region</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920.0</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613.9</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1,533.9</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Bookings by geographic region</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805.4</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580.5</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Bookings</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1,385.9</w:t>
            </w: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6"/>
        <w:gridCol w:w="498"/>
        <w:gridCol w:w="499"/>
        <w:gridCol w:w="215"/>
        <w:gridCol w:w="775"/>
        <w:gridCol w:w="119"/>
        <w:gridCol w:w="119"/>
        <w:gridCol w:w="119"/>
        <w:gridCol w:w="119"/>
        <w:gridCol w:w="413"/>
        <w:gridCol w:w="653"/>
        <w:gridCol w:w="124"/>
        <w:gridCol w:w="109"/>
        <w:gridCol w:w="109"/>
        <w:gridCol w:w="109"/>
        <w:gridCol w:w="491"/>
        <w:gridCol w:w="708"/>
        <w:gridCol w:w="136"/>
        <w:gridCol w:w="109"/>
        <w:gridCol w:w="109"/>
        <w:gridCol w:w="109"/>
        <w:gridCol w:w="302"/>
        <w:gridCol w:w="883"/>
        <w:gridCol w:w="170"/>
        <w:gridCol w:w="109"/>
        <w:gridCol w:w="109"/>
        <w:gridCol w:w="109"/>
        <w:gridCol w:w="218"/>
        <w:gridCol w:w="546"/>
        <w:gridCol w:w="121"/>
        <w:gridCol w:w="109"/>
        <w:gridCol w:w="109"/>
        <w:gridCol w:w="109"/>
        <w:gridCol w:w="234"/>
        <w:gridCol w:w="574"/>
        <w:gridCol w:w="130"/>
        <w:gridCol w:w="165"/>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9"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ADDITIONAL DATA</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revenue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Product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Game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Software development costs and 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Internal royalties</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reported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1,533.9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187.8</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154.3</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135.1</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99.5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74.7</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effect from deferred revenue and related cost of revenue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Selling and marketing</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Interest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reported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369.7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273.8</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226.3</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48.2</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effect from deferred revenue and related cost of revenue</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revenue</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 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-Game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Software development costs and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revenue- Internal royalties</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reported</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effect from deferred revenue and related cost of revenue </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and impairment of acquired intangibles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Selling and marketing</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reported</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effect from deferred revenue and related cost of revenue </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and impairment of acquired intangibles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Impact of business reorganization </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898" w:type="dxa"/>
        <w:jc w:val="left"/>
        <w:tblInd w:w="0" w:type="dxa"/>
        <w:tblLayout w:type="fixed"/>
        <w:tblCellMar>
          <w:top w:w="28" w:type="dxa"/>
          <w:left w:w="28" w:type="dxa"/>
          <w:bottom w:w="28" w:type="dxa"/>
          <w:right w:w="28" w:type="dxa"/>
        </w:tblCellMar>
      </w:tblPr>
      <w:tblGrid>
        <w:gridCol w:w="1132"/>
        <w:gridCol w:w="991"/>
        <w:gridCol w:w="997"/>
        <w:gridCol w:w="227"/>
        <w:gridCol w:w="227"/>
        <w:gridCol w:w="227"/>
        <w:gridCol w:w="440"/>
        <w:gridCol w:w="1316"/>
        <w:gridCol w:w="227"/>
        <w:gridCol w:w="227"/>
        <w:gridCol w:w="227"/>
        <w:gridCol w:w="227"/>
        <w:gridCol w:w="440"/>
        <w:gridCol w:w="1285"/>
        <w:gridCol w:w="227"/>
        <w:gridCol w:w="109"/>
        <w:gridCol w:w="109"/>
        <w:gridCol w:w="109"/>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7"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TAKE-TWO INTERACTIVE SOFTWARE, INC. and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7"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GAAP TO NON-GAAP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(34.1)</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30.4</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w:t>
            </w: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160.5</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167.0</w:t>
            </w: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611" w:type="dxa"/>
        <w:jc w:val="left"/>
        <w:tblInd w:w="0" w:type="dxa"/>
        <w:tblLayout w:type="fixed"/>
        <w:tblCellMar>
          <w:top w:w="28" w:type="dxa"/>
          <w:left w:w="28" w:type="dxa"/>
          <w:bottom w:w="28" w:type="dxa"/>
          <w:right w:w="28" w:type="dxa"/>
        </w:tblCellMar>
      </w:tblPr>
      <w:tblGrid>
        <w:gridCol w:w="1132"/>
        <w:gridCol w:w="992"/>
        <w:gridCol w:w="996"/>
        <w:gridCol w:w="109"/>
        <w:gridCol w:w="109"/>
        <w:gridCol w:w="109"/>
        <w:gridCol w:w="925"/>
        <w:gridCol w:w="925"/>
        <w:gridCol w:w="1314"/>
      </w:tblGrid>
      <w:tr>
        <w:trPr/>
        <w:tc>
          <w:tcPr>
            <w:tcW w:w="113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Ending March 31, 2027</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 to $143</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 to $76</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$618</w:t>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$993 to $1,053</w:t>
            </w:r>
          </w:p>
        </w:tc>
      </w:tr>
    </w:tbl>
    <w:p>
      <w:pPr>
        <w:pStyle w:val="TextBody"/>
        <w:bidi w:val="0"/>
        <w:spacing w:before="0" w:after="0"/>
        <w:jc w:val="left"/>
        <w:rPr/>
      </w:pPr>
      <w:r>
        <w:rPr/>
      </w:r>
    </w:p>
    <w:tbl>
      <w:tblPr>
        <w:tblW w:w="7150" w:type="dxa"/>
        <w:jc w:val="left"/>
        <w:tblInd w:w="0" w:type="dxa"/>
        <w:tblLayout w:type="fixed"/>
        <w:tblCellMar>
          <w:top w:w="28" w:type="dxa"/>
          <w:left w:w="28" w:type="dxa"/>
          <w:bottom w:w="28" w:type="dxa"/>
          <w:right w:w="28" w:type="dxa"/>
        </w:tblCellMar>
      </w:tblPr>
      <w:tblGrid>
        <w:gridCol w:w="1131"/>
        <w:gridCol w:w="993"/>
        <w:gridCol w:w="995"/>
        <w:gridCol w:w="109"/>
        <w:gridCol w:w="109"/>
        <w:gridCol w:w="109"/>
        <w:gridCol w:w="1082"/>
        <w:gridCol w:w="1082"/>
        <w:gridCol w:w="1540"/>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Ending September 30, 2026</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 to $(140)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 to $(60)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 to $4</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4448</Words>
  <Characters>24491</Characters>
  <CharactersWithSpaces>28188</CharactersWithSpaces>
  <Paragraphs>1116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