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66"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3080"/>
        <w:spacing w:after="0"/>
        <w:rPr>
          <w:sz w:val="20"/>
          <w:szCs w:val="20"/>
          <w:color w:val="auto"/>
        </w:rPr>
      </w:pPr>
      <w:r>
        <w:rPr>
          <w:rFonts w:ascii="Courier New" w:cs="Courier New" w:eastAsia="Courier New" w:hAnsi="Courier New"/>
          <w:sz w:val="15"/>
          <w:szCs w:val="15"/>
          <w:color w:val="auto"/>
        </w:rPr>
        <w:t>FORM 8-K/A</w:t>
      </w:r>
    </w:p>
    <w:p>
      <w:pPr>
        <w:spacing w:after="0" w:line="166" w:lineRule="exact"/>
        <w:rPr>
          <w:sz w:val="24"/>
          <w:szCs w:val="24"/>
          <w:color w:val="auto"/>
        </w:rPr>
      </w:pPr>
    </w:p>
    <w:p>
      <w:pPr>
        <w:ind w:left="2800"/>
        <w:spacing w:after="0"/>
        <w:rPr>
          <w:sz w:val="20"/>
          <w:szCs w:val="20"/>
          <w:color w:val="auto"/>
        </w:rPr>
      </w:pPr>
      <w:r>
        <w:rPr>
          <w:rFonts w:ascii="Courier New" w:cs="Courier New" w:eastAsia="Courier New" w:hAnsi="Courier New"/>
          <w:sz w:val="15"/>
          <w:szCs w:val="15"/>
          <w:color w:val="auto"/>
        </w:rPr>
        <w:t>(Amendment No. 1)</w:t>
      </w:r>
    </w:p>
    <w:p>
      <w:pPr>
        <w:spacing w:after="0" w:line="166" w:lineRule="exact"/>
        <w:rPr>
          <w:sz w:val="24"/>
          <w:szCs w:val="24"/>
          <w:color w:val="auto"/>
        </w:rPr>
      </w:pPr>
    </w:p>
    <w:p>
      <w:pPr>
        <w:ind w:left="2900"/>
        <w:spacing w:after="0"/>
        <w:rPr>
          <w:sz w:val="20"/>
          <w:szCs w:val="20"/>
          <w:color w:val="auto"/>
        </w:rPr>
      </w:pPr>
      <w:r>
        <w:rPr>
          <w:rFonts w:ascii="Courier New" w:cs="Courier New" w:eastAsia="Courier New" w:hAnsi="Courier New"/>
          <w:sz w:val="15"/>
          <w:szCs w:val="15"/>
          <w:color w:val="auto"/>
        </w:rPr>
        <w:t>CURRENT REPORT</w:t>
      </w:r>
    </w:p>
    <w:p>
      <w:pPr>
        <w:spacing w:after="0" w:line="200" w:lineRule="exact"/>
        <w:rPr>
          <w:sz w:val="24"/>
          <w:szCs w:val="24"/>
          <w:color w:val="auto"/>
        </w:rPr>
      </w:pPr>
    </w:p>
    <w:p>
      <w:pPr>
        <w:spacing w:after="0" w:line="303" w:lineRule="exact"/>
        <w:rPr>
          <w:sz w:val="24"/>
          <w:szCs w:val="24"/>
          <w:color w:val="auto"/>
        </w:rPr>
      </w:pPr>
    </w:p>
    <w:p>
      <w:pPr>
        <w:ind w:left="1840"/>
        <w:spacing w:after="0"/>
        <w:rPr>
          <w:sz w:val="20"/>
          <w:szCs w:val="20"/>
          <w:color w:val="auto"/>
        </w:rPr>
      </w:pPr>
      <w:r>
        <w:rPr>
          <w:rFonts w:ascii="Courier New" w:cs="Courier New" w:eastAsia="Courier New" w:hAnsi="Courier New"/>
          <w:sz w:val="15"/>
          <w:szCs w:val="15"/>
          <w:color w:val="auto"/>
        </w:rPr>
        <w:t>Pursuant to Section 13 or 15(d) of the</w:t>
      </w:r>
    </w:p>
    <w:p>
      <w:pPr>
        <w:spacing w:after="0" w:line="24"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spacing w:after="0"/>
        <w:tabs>
          <w:tab w:leader="none" w:pos="5680" w:val="left"/>
        </w:tabs>
        <w:rPr>
          <w:sz w:val="20"/>
          <w:szCs w:val="20"/>
          <w:color w:val="auto"/>
        </w:rPr>
      </w:pPr>
      <w:r>
        <w:rPr>
          <w:rFonts w:ascii="Courier New" w:cs="Courier New" w:eastAsia="Courier New" w:hAnsi="Courier New"/>
          <w:sz w:val="15"/>
          <w:szCs w:val="15"/>
          <w:color w:val="auto"/>
        </w:rPr>
        <w:t>Date of Report (Date of Earliest Event Reported):</w:t>
      </w:r>
      <w:r>
        <w:rPr>
          <w:sz w:val="20"/>
          <w:szCs w:val="20"/>
          <w:color w:val="auto"/>
        </w:rPr>
        <w:tab/>
      </w:r>
      <w:r>
        <w:rPr>
          <w:rFonts w:ascii="Courier New" w:cs="Courier New" w:eastAsia="Courier New" w:hAnsi="Courier New"/>
          <w:sz w:val="14"/>
          <w:szCs w:val="14"/>
          <w:color w:val="auto"/>
        </w:rPr>
        <w:t>July 29, 1997</w:t>
      </w:r>
    </w:p>
    <w:p>
      <w:pPr>
        <w:spacing w:after="0" w:line="200" w:lineRule="exact"/>
        <w:rPr>
          <w:sz w:val="24"/>
          <w:szCs w:val="24"/>
          <w:color w:val="auto"/>
        </w:rPr>
      </w:pPr>
    </w:p>
    <w:p>
      <w:pPr>
        <w:spacing w:after="0" w:line="303" w:lineRule="exact"/>
        <w:rPr>
          <w:sz w:val="24"/>
          <w:szCs w:val="24"/>
          <w:color w:val="auto"/>
        </w:rPr>
      </w:pPr>
    </w:p>
    <w:p>
      <w:pPr>
        <w:ind w:left="2020"/>
        <w:spacing w:after="0"/>
        <w:rPr>
          <w:sz w:val="20"/>
          <w:szCs w:val="20"/>
          <w:color w:val="auto"/>
        </w:rPr>
      </w:pPr>
      <w:r>
        <w:rPr>
          <w:rFonts w:ascii="Courier New" w:cs="Courier New" w:eastAsia="Courier New" w:hAnsi="Courier New"/>
          <w:sz w:val="15"/>
          <w:szCs w:val="15"/>
          <w:color w:val="auto"/>
        </w:rPr>
        <w:t>TAKE-TWO INTERACTIVE SOFTWARE, INC.</w:t>
      </w:r>
    </w:p>
    <w:p>
      <w:pPr>
        <w:spacing w:after="0" w:line="24" w:lineRule="exact"/>
        <w:rPr>
          <w:sz w:val="24"/>
          <w:szCs w:val="24"/>
          <w:color w:val="auto"/>
        </w:rPr>
      </w:pPr>
    </w:p>
    <w:p>
      <w:pPr>
        <w:ind w:left="114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200" w:lineRule="exact"/>
        <w:rPr>
          <w:sz w:val="24"/>
          <w:szCs w:val="24"/>
          <w:color w:val="auto"/>
        </w:rPr>
      </w:pPr>
    </w:p>
    <w:p>
      <w:pPr>
        <w:spacing w:after="0" w:line="275"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5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6"/>
              </w:rPr>
              <w:t>(State</w:t>
            </w:r>
          </w:p>
        </w:tc>
        <w:tc>
          <w:tcPr>
            <w:tcW w:w="180" w:type="dxa"/>
            <w:vAlign w:val="bottom"/>
          </w:tcPr>
          <w:p>
            <w:pPr>
              <w:spacing w:after="0"/>
              <w:rPr>
                <w:sz w:val="14"/>
                <w:szCs w:val="14"/>
                <w:color w:val="auto"/>
              </w:rPr>
            </w:pPr>
          </w:p>
        </w:tc>
        <w:tc>
          <w:tcPr>
            <w:tcW w:w="2040" w:type="dxa"/>
            <w:vAlign w:val="bottom"/>
          </w:tcPr>
          <w:p>
            <w:pPr>
              <w:ind w:left="120"/>
              <w:spacing w:after="0"/>
              <w:rPr>
                <w:sz w:val="20"/>
                <w:szCs w:val="20"/>
                <w:color w:val="auto"/>
              </w:rPr>
            </w:pPr>
            <w:r>
              <w:rPr>
                <w:rFonts w:ascii="Courier New" w:cs="Courier New" w:eastAsia="Courier New" w:hAnsi="Courier New"/>
                <w:sz w:val="15"/>
                <w:szCs w:val="15"/>
                <w:color w:val="auto"/>
              </w:rPr>
              <w:t>Delaware</w:t>
            </w:r>
          </w:p>
        </w:tc>
        <w:tc>
          <w:tcPr>
            <w:tcW w:w="18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0-29230</w:t>
            </w:r>
          </w:p>
        </w:tc>
        <w:tc>
          <w:tcPr>
            <w:tcW w:w="2160" w:type="dxa"/>
            <w:vAlign w:val="bottom"/>
          </w:tcPr>
          <w:p>
            <w:pPr>
              <w:jc w:val="center"/>
              <w:ind w:left="327"/>
              <w:spacing w:after="0"/>
              <w:rPr>
                <w:sz w:val="20"/>
                <w:szCs w:val="20"/>
                <w:color w:val="auto"/>
              </w:rPr>
            </w:pPr>
            <w:r>
              <w:rPr>
                <w:rFonts w:ascii="Courier New" w:cs="Courier New" w:eastAsia="Courier New" w:hAnsi="Courier New"/>
                <w:sz w:val="15"/>
                <w:szCs w:val="15"/>
                <w:color w:val="auto"/>
                <w:w w:val="97"/>
              </w:rPr>
              <w:t>51-0350842</w:t>
            </w:r>
          </w:p>
        </w:tc>
        <w:tc>
          <w:tcPr>
            <w:tcW w:w="0" w:type="dxa"/>
            <w:vAlign w:val="bottom"/>
          </w:tcPr>
          <w:p>
            <w:pPr>
              <w:spacing w:after="0"/>
              <w:rPr>
                <w:sz w:val="1"/>
                <w:szCs w:val="1"/>
                <w:color w:val="auto"/>
              </w:rPr>
            </w:pPr>
          </w:p>
        </w:tc>
      </w:tr>
      <w:tr>
        <w:trPr>
          <w:trHeight w:val="168"/>
        </w:trPr>
        <w:tc>
          <w:tcPr>
            <w:tcW w:w="580" w:type="dxa"/>
            <w:vAlign w:val="bottom"/>
            <w:vMerge w:val="continue"/>
          </w:tcPr>
          <w:p>
            <w:pPr>
              <w:spacing w:after="0"/>
              <w:rPr>
                <w:sz w:val="14"/>
                <w:szCs w:val="14"/>
                <w:color w:val="auto"/>
              </w:rPr>
            </w:pPr>
          </w:p>
        </w:tc>
        <w:tc>
          <w:tcPr>
            <w:tcW w:w="22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or other jurisdiction</w:t>
            </w:r>
          </w:p>
        </w:tc>
        <w:tc>
          <w:tcPr>
            <w:tcW w:w="18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(Commission</w:t>
            </w:r>
          </w:p>
        </w:tc>
        <w:tc>
          <w:tcPr>
            <w:tcW w:w="216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7"/>
              </w:rPr>
              <w:t>(I.R.S. Employer</w:t>
            </w:r>
          </w:p>
        </w:tc>
        <w:tc>
          <w:tcPr>
            <w:tcW w:w="0" w:type="dxa"/>
            <w:vAlign w:val="bottom"/>
          </w:tcPr>
          <w:p>
            <w:pPr>
              <w:spacing w:after="0"/>
              <w:rPr>
                <w:sz w:val="1"/>
                <w:szCs w:val="1"/>
                <w:color w:val="auto"/>
              </w:rPr>
            </w:pPr>
          </w:p>
        </w:tc>
      </w:tr>
      <w:tr>
        <w:trPr>
          <w:trHeight w:val="245"/>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of</w:t>
            </w:r>
          </w:p>
        </w:tc>
        <w:tc>
          <w:tcPr>
            <w:tcW w:w="22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incorporation)</w:t>
            </w:r>
          </w:p>
        </w:tc>
        <w:tc>
          <w:tcPr>
            <w:tcW w:w="1880" w:type="dxa"/>
            <w:vAlign w:val="bottom"/>
          </w:tcPr>
          <w:p>
            <w:pPr>
              <w:ind w:left="360"/>
              <w:spacing w:after="0"/>
              <w:rPr>
                <w:sz w:val="20"/>
                <w:szCs w:val="20"/>
                <w:color w:val="auto"/>
              </w:rPr>
            </w:pPr>
            <w:r>
              <w:rPr>
                <w:rFonts w:ascii="Courier New" w:cs="Courier New" w:eastAsia="Courier New" w:hAnsi="Courier New"/>
                <w:sz w:val="15"/>
                <w:szCs w:val="15"/>
                <w:color w:val="auto"/>
              </w:rPr>
              <w:t>File Number)</w:t>
            </w:r>
          </w:p>
        </w:tc>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Identification No.)</w:t>
            </w:r>
          </w:p>
        </w:tc>
        <w:tc>
          <w:tcPr>
            <w:tcW w:w="0" w:type="dxa"/>
            <w:vAlign w:val="bottom"/>
          </w:tcPr>
          <w:p>
            <w:pPr>
              <w:spacing w:after="0"/>
              <w:rPr>
                <w:sz w:val="1"/>
                <w:szCs w:val="1"/>
                <w:color w:val="auto"/>
              </w:rPr>
            </w:pPr>
          </w:p>
        </w:tc>
      </w:tr>
      <w:tr>
        <w:trPr>
          <w:trHeight w:val="427"/>
        </w:trPr>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575</w:t>
            </w:r>
          </w:p>
        </w:tc>
        <w:tc>
          <w:tcPr>
            <w:tcW w:w="39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Broadway, New York, New York</w:t>
            </w:r>
          </w:p>
        </w:tc>
        <w:tc>
          <w:tcPr>
            <w:tcW w:w="21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10012</w:t>
            </w:r>
          </w:p>
        </w:tc>
        <w:tc>
          <w:tcPr>
            <w:tcW w:w="0" w:type="dxa"/>
            <w:vAlign w:val="bottom"/>
          </w:tcPr>
          <w:p>
            <w:pPr>
              <w:spacing w:after="0"/>
              <w:rPr>
                <w:sz w:val="1"/>
                <w:szCs w:val="1"/>
                <w:color w:val="auto"/>
              </w:rPr>
            </w:pPr>
          </w:p>
        </w:tc>
      </w:tr>
      <w:tr>
        <w:trPr>
          <w:trHeight w:val="245"/>
        </w:trPr>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(Address</w:t>
            </w:r>
          </w:p>
        </w:tc>
        <w:tc>
          <w:tcPr>
            <w:tcW w:w="39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of principal executive offices)</w:t>
            </w:r>
          </w:p>
        </w:tc>
        <w:tc>
          <w:tcPr>
            <w:tcW w:w="2160" w:type="dxa"/>
            <w:vAlign w:val="bottom"/>
          </w:tcPr>
          <w:p>
            <w:pPr>
              <w:jc w:val="center"/>
              <w:ind w:left="327"/>
              <w:spacing w:after="0"/>
              <w:rPr>
                <w:sz w:val="20"/>
                <w:szCs w:val="20"/>
                <w:color w:val="auto"/>
              </w:rPr>
            </w:pPr>
            <w:r>
              <w:rPr>
                <w:rFonts w:ascii="Courier New" w:cs="Courier New" w:eastAsia="Courier New" w:hAnsi="Courier New"/>
                <w:sz w:val="15"/>
                <w:szCs w:val="15"/>
                <w:color w:val="auto"/>
                <w:w w:val="97"/>
              </w:rPr>
              <w:t>(Zip Code)</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Registrant's telephone number, including area code: (212)941-2988</w:t>
      </w:r>
    </w:p>
    <w:p>
      <w:pPr>
        <w:spacing w:after="0" w:line="200" w:lineRule="exact"/>
        <w:rPr>
          <w:sz w:val="24"/>
          <w:szCs w:val="24"/>
          <w:color w:val="auto"/>
        </w:rPr>
      </w:pPr>
    </w:p>
    <w:p>
      <w:pPr>
        <w:spacing w:after="0" w:line="303"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Not Applicable</w:t>
      </w:r>
    </w:p>
    <w:p>
      <w:pPr>
        <w:spacing w:after="0" w:line="24"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Item 7. Financial Statements and Exhibits.</w:t>
      </w:r>
    </w:p>
    <w:p>
      <w:pPr>
        <w:spacing w:after="0" w:line="166" w:lineRule="exact"/>
        <w:rPr>
          <w:sz w:val="24"/>
          <w:szCs w:val="24"/>
          <w:color w:val="auto"/>
        </w:rPr>
      </w:pPr>
    </w:p>
    <w:p>
      <w:pPr>
        <w:ind w:right="3679" w:firstLine="437"/>
        <w:spacing w:after="0" w:line="320" w:lineRule="auto"/>
        <w:rPr>
          <w:sz w:val="20"/>
          <w:szCs w:val="20"/>
          <w:color w:val="auto"/>
        </w:rPr>
      </w:pPr>
      <w:r>
        <w:rPr>
          <w:rFonts w:ascii="Courier New" w:cs="Courier New" w:eastAsia="Courier New" w:hAnsi="Courier New"/>
          <w:sz w:val="14"/>
          <w:szCs w:val="14"/>
          <w:color w:val="auto"/>
        </w:rPr>
        <w:t>The following financial statements and pro forma financial information omitted from Form 8-K for the event dated July 29, 1997, in reliance upon instructions 7(a)(4) and 7(b)(2) of Form 8-K, are filed herewith.</w:t>
      </w:r>
    </w:p>
    <w:p>
      <w:pPr>
        <w:spacing w:after="0" w:line="38"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(a) Financial Statements of the Businesses Acquired.</w:t>
      </w:r>
    </w:p>
    <w:p>
      <w:pPr>
        <w:spacing w:after="0" w:line="166" w:lineRule="exact"/>
        <w:rPr>
          <w:sz w:val="24"/>
          <w:szCs w:val="24"/>
          <w:color w:val="auto"/>
        </w:rPr>
      </w:pPr>
    </w:p>
    <w:p>
      <w:pPr>
        <w:ind w:left="880" w:hanging="433"/>
        <w:spacing w:after="0"/>
        <w:tabs>
          <w:tab w:leader="none" w:pos="8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 of Inventory Management Systems, Inc.</w:t>
      </w:r>
    </w:p>
    <w:p>
      <w:pPr>
        <w:spacing w:after="0" w:line="166" w:lineRule="exact"/>
        <w:rPr>
          <w:rFonts w:ascii="Courier New" w:cs="Courier New" w:eastAsia="Courier New" w:hAnsi="Courier New"/>
          <w:sz w:val="15"/>
          <w:szCs w:val="15"/>
          <w:color w:val="auto"/>
        </w:rPr>
      </w:pPr>
    </w:p>
    <w:p>
      <w:pPr>
        <w:ind w:left="880" w:right="6199"/>
        <w:spacing w:after="0" w:line="27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Report of Independent Accountants Balance Sheet as of October 31, 1996</w:t>
      </w:r>
    </w:p>
    <w:p>
      <w:pPr>
        <w:ind w:left="8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Balance Sheet as of April 30, 1997 (unaudited)</w:t>
      </w:r>
    </w:p>
    <w:p>
      <w:pPr>
        <w:ind w:left="1320" w:right="3679" w:hanging="437"/>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Statements of Operations for the years ended October 31, 1996 and October 31, 1995</w:t>
      </w:r>
    </w:p>
    <w:p>
      <w:pPr>
        <w:ind w:left="1320" w:right="3399" w:hanging="437"/>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Statements of Operations for the six months ended April 30, 1997 and April 30, 1996 (unaudited)</w:t>
      </w:r>
    </w:p>
    <w:p>
      <w:pPr>
        <w:ind w:left="1320" w:right="3759" w:hanging="437"/>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Statements of Stockholders' Equity (Deficit) for the years ended October 31, 1996 and October 31, 1995</w:t>
      </w:r>
    </w:p>
    <w:p>
      <w:pPr>
        <w:ind w:left="1320" w:right="3399" w:hanging="437"/>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of Stockholders' Equity (Deficit) for the six months ended April 30, 1997 (unaudited)</w:t>
      </w:r>
    </w:p>
    <w:p>
      <w:pPr>
        <w:ind w:left="1320" w:right="3679" w:hanging="437"/>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Statements of Cash Flows for the years ended October 31, 1996 and October 31, 1995</w:t>
      </w:r>
    </w:p>
    <w:p>
      <w:pPr>
        <w:ind w:left="1320" w:right="3399" w:hanging="437"/>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Statements of Cash Flows for the six months ended April 30, 1997 and April 30, 1996 (unaudited)</w:t>
      </w: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Notes to Financial Statements</w:t>
      </w:r>
    </w:p>
    <w:p>
      <w:pPr>
        <w:spacing w:after="0" w:line="140"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 of GameTek (UK) Limited</w:t>
      </w:r>
    </w:p>
    <w:p>
      <w:pPr>
        <w:spacing w:after="0" w:line="166"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Report of Independent Accountants</w:t>
      </w:r>
    </w:p>
    <w:p>
      <w:pPr>
        <w:spacing w:after="0" w:line="24" w:lineRule="exact"/>
        <w:rPr>
          <w:rFonts w:ascii="Courier New" w:cs="Courier New" w:eastAsia="Courier New" w:hAnsi="Courier New"/>
          <w:sz w:val="15"/>
          <w:szCs w:val="15"/>
          <w:color w:val="auto"/>
        </w:rPr>
      </w:pPr>
    </w:p>
    <w:p>
      <w:pPr>
        <w:ind w:left="8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Balance Sheet as of July 29, 1997</w:t>
      </w:r>
    </w:p>
    <w:p>
      <w:pPr>
        <w:ind w:left="1320" w:right="3679" w:hanging="437"/>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Statements of Operations for the year ended July 31, 1996 and the period ended July 29, 1997</w:t>
      </w:r>
    </w:p>
    <w:p>
      <w:pPr>
        <w:ind w:left="880" w:right="367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Consolidated Statements of Stockholders' Equity (Deficit) for the year ended July 31, 1996 and the period ended July 29, 1997 Consolidated Statements of Cash Flows for the year ended July 31,</w:t>
      </w:r>
    </w:p>
    <w:p>
      <w:pPr>
        <w:spacing w:after="0" w:line="1" w:lineRule="exact"/>
        <w:rPr>
          <w:rFonts w:ascii="Courier New" w:cs="Courier New" w:eastAsia="Courier New" w:hAnsi="Courier New"/>
          <w:sz w:val="15"/>
          <w:szCs w:val="15"/>
          <w:color w:val="auto"/>
        </w:rPr>
      </w:pPr>
    </w:p>
    <w:p>
      <w:pPr>
        <w:ind w:left="880" w:right="5499" w:firstLine="437"/>
        <w:spacing w:after="0" w:line="34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1996 and the period ended July 29, 1997 Notes to Consolidated Financial Statements</w:t>
      </w:r>
    </w:p>
    <w:p>
      <w:pPr>
        <w:spacing w:after="0" w:line="21"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(b) Pro Forma Financial Information.</w:t>
      </w:r>
    </w:p>
    <w:p>
      <w:pPr>
        <w:sectPr>
          <w:pgSz w:w="11900" w:h="16868" w:orient="portrait"/>
          <w:cols w:equalWidth="0" w:num="1">
            <w:col w:w="10239"/>
          </w:cols>
          <w:pgMar w:left="220" w:top="542" w:right="1440" w:bottom="0" w:gutter="0" w:footer="0" w:header="0"/>
        </w:sectPr>
      </w:pPr>
    </w:p>
    <w:bookmarkStart w:id="1" w:name="page2"/>
    <w:bookmarkEnd w:id="1"/>
    <w:p>
      <w:pPr>
        <w:ind w:right="4019" w:firstLine="437"/>
        <w:spacing w:after="0" w:line="344" w:lineRule="auto"/>
        <w:rPr>
          <w:sz w:val="20"/>
          <w:szCs w:val="20"/>
          <w:color w:val="auto"/>
        </w:rPr>
      </w:pPr>
      <w:r>
        <w:rPr>
          <w:rFonts w:ascii="Courier New" w:cs="Courier New" w:eastAsia="Courier New" w:hAnsi="Courier New"/>
          <w:sz w:val="15"/>
          <w:szCs w:val="15"/>
          <w:color w:val="auto"/>
        </w:rPr>
        <w:t>Unaudited Pro Forma Consolidated Financial Statements for Take-Two Interactive Software, Inc.</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jc w:val="right"/>
              <w:spacing w:after="0"/>
              <w:rPr>
                <w:sz w:val="20"/>
                <w:szCs w:val="20"/>
                <w:color w:val="auto"/>
              </w:rPr>
            </w:pPr>
            <w:r>
              <w:rPr>
                <w:rFonts w:ascii="Courier New" w:cs="Courier New" w:eastAsia="Courier New" w:hAnsi="Courier New"/>
                <w:sz w:val="15"/>
                <w:szCs w:val="15"/>
                <w:color w:val="auto"/>
              </w:rPr>
              <w:t>Unaudited Consolidated</w:t>
            </w:r>
          </w:p>
        </w:tc>
        <w:tc>
          <w:tcPr>
            <w:tcW w:w="40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Pro Forma Statement of Operations for the year</w:t>
            </w:r>
          </w:p>
        </w:tc>
        <w:tc>
          <w:tcPr>
            <w:tcW w:w="0" w:type="dxa"/>
            <w:vAlign w:val="bottom"/>
          </w:tcPr>
          <w:p>
            <w:pPr>
              <w:spacing w:after="0"/>
              <w:rPr>
                <w:sz w:val="1"/>
                <w:szCs w:val="1"/>
                <w:color w:val="auto"/>
              </w:rPr>
            </w:pPr>
          </w:p>
        </w:tc>
      </w:tr>
      <w:tr>
        <w:trPr>
          <w:trHeight w:val="168"/>
        </w:trPr>
        <w:tc>
          <w:tcPr>
            <w:tcW w:w="2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ended October 31,</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1996</w:t>
            </w:r>
          </w:p>
        </w:tc>
        <w:tc>
          <w:tcPr>
            <w:tcW w:w="354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Consolidated Financial</w:t>
            </w:r>
          </w:p>
        </w:tc>
        <w:tc>
          <w:tcPr>
            <w:tcW w:w="0" w:type="dxa"/>
            <w:vAlign w:val="bottom"/>
          </w:tcPr>
          <w:p>
            <w:pPr>
              <w:spacing w:after="0"/>
              <w:rPr>
                <w:sz w:val="1"/>
                <w:szCs w:val="1"/>
                <w:color w:val="auto"/>
              </w:rPr>
            </w:pPr>
          </w:p>
        </w:tc>
      </w:tr>
      <w:tr>
        <w:trPr>
          <w:trHeight w:val="168"/>
        </w:trPr>
        <w:tc>
          <w:tcPr>
            <w:tcW w:w="2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Notes to Unaudited Pro</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Forma</w:t>
            </w:r>
          </w:p>
        </w:tc>
        <w:tc>
          <w:tcPr>
            <w:tcW w:w="3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Statements for the year</w:t>
            </w:r>
          </w:p>
        </w:tc>
        <w:tc>
          <w:tcPr>
            <w:tcW w:w="3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ended October 31, 1996</w:t>
            </w:r>
          </w:p>
        </w:tc>
        <w:tc>
          <w:tcPr>
            <w:tcW w:w="0" w:type="dxa"/>
            <w:vAlign w:val="bottom"/>
          </w:tcPr>
          <w:p>
            <w:pPr>
              <w:spacing w:after="0"/>
              <w:rPr>
                <w:sz w:val="1"/>
                <w:szCs w:val="1"/>
                <w:color w:val="auto"/>
              </w:rPr>
            </w:pPr>
          </w:p>
        </w:tc>
      </w:tr>
      <w:tr>
        <w:trPr>
          <w:trHeight w:val="168"/>
        </w:trPr>
        <w:tc>
          <w:tcPr>
            <w:tcW w:w="2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Unaudited Consolidated</w:t>
            </w:r>
          </w:p>
        </w:tc>
        <w:tc>
          <w:tcPr>
            <w:tcW w:w="40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Pro Forma Statement of Operations for the nine</w:t>
            </w:r>
          </w:p>
        </w:tc>
        <w:tc>
          <w:tcPr>
            <w:tcW w:w="0" w:type="dxa"/>
            <w:vAlign w:val="bottom"/>
          </w:tcPr>
          <w:p>
            <w:pPr>
              <w:spacing w:after="0"/>
              <w:rPr>
                <w:sz w:val="1"/>
                <w:szCs w:val="1"/>
                <w:color w:val="auto"/>
              </w:rPr>
            </w:pPr>
          </w:p>
        </w:tc>
      </w:tr>
      <w:tr>
        <w:trPr>
          <w:trHeight w:val="168"/>
        </w:trPr>
        <w:tc>
          <w:tcPr>
            <w:tcW w:w="2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months ended July</w:t>
            </w:r>
          </w:p>
        </w:tc>
        <w:tc>
          <w:tcPr>
            <w:tcW w:w="40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31, 1997</w:t>
            </w:r>
          </w:p>
        </w:tc>
        <w:tc>
          <w:tcPr>
            <w:tcW w:w="0" w:type="dxa"/>
            <w:vAlign w:val="bottom"/>
          </w:tcPr>
          <w:p>
            <w:pPr>
              <w:spacing w:after="0"/>
              <w:rPr>
                <w:sz w:val="1"/>
                <w:szCs w:val="1"/>
                <w:color w:val="auto"/>
              </w:rPr>
            </w:pPr>
          </w:p>
        </w:tc>
      </w:tr>
      <w:tr>
        <w:trPr>
          <w:trHeight w:val="168"/>
        </w:trPr>
        <w:tc>
          <w:tcPr>
            <w:tcW w:w="2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Notes to Unaudited Pro</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Forma</w:t>
            </w:r>
          </w:p>
        </w:tc>
        <w:tc>
          <w:tcPr>
            <w:tcW w:w="3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Consolidated Financial</w:t>
            </w:r>
          </w:p>
        </w:tc>
        <w:tc>
          <w:tcPr>
            <w:tcW w:w="0" w:type="dxa"/>
            <w:vAlign w:val="bottom"/>
          </w:tcPr>
          <w:p>
            <w:pPr>
              <w:spacing w:after="0"/>
              <w:rPr>
                <w:sz w:val="1"/>
                <w:szCs w:val="1"/>
                <w:color w:val="auto"/>
              </w:rPr>
            </w:pPr>
          </w:p>
        </w:tc>
      </w:tr>
      <w:tr>
        <w:trPr>
          <w:trHeight w:val="245"/>
        </w:trPr>
        <w:tc>
          <w:tcPr>
            <w:tcW w:w="3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Statements for the nine</w:t>
            </w:r>
          </w:p>
        </w:tc>
        <w:tc>
          <w:tcPr>
            <w:tcW w:w="3540" w:type="dxa"/>
            <w:vAlign w:val="bottom"/>
          </w:tcPr>
          <w:p>
            <w:pPr>
              <w:ind w:left="40"/>
              <w:spacing w:after="0"/>
              <w:rPr>
                <w:sz w:val="20"/>
                <w:szCs w:val="20"/>
                <w:color w:val="auto"/>
              </w:rPr>
            </w:pPr>
            <w:r>
              <w:rPr>
                <w:rFonts w:ascii="Courier New" w:cs="Courier New" w:eastAsia="Courier New" w:hAnsi="Courier New"/>
                <w:sz w:val="15"/>
                <w:szCs w:val="15"/>
                <w:color w:val="auto"/>
              </w:rPr>
              <w:t>months ended July 31, 1997</w:t>
            </w:r>
          </w:p>
        </w:tc>
        <w:tc>
          <w:tcPr>
            <w:tcW w:w="0" w:type="dxa"/>
            <w:vAlign w:val="bottom"/>
          </w:tcPr>
          <w:p>
            <w:pPr>
              <w:spacing w:after="0"/>
              <w:rPr>
                <w:sz w:val="1"/>
                <w:szCs w:val="1"/>
                <w:color w:val="auto"/>
              </w:rPr>
            </w:pPr>
          </w:p>
        </w:tc>
      </w:tr>
      <w:tr>
        <w:trPr>
          <w:trHeight w:val="336"/>
        </w:trPr>
        <w:tc>
          <w:tcPr>
            <w:tcW w:w="2860" w:type="dxa"/>
            <w:vAlign w:val="bottom"/>
          </w:tcPr>
          <w:p>
            <w:pPr>
              <w:jc w:val="right"/>
              <w:ind w:right="1207"/>
              <w:spacing w:after="0"/>
              <w:rPr>
                <w:sz w:val="20"/>
                <w:szCs w:val="20"/>
                <w:color w:val="auto"/>
              </w:rPr>
            </w:pPr>
            <w:r>
              <w:rPr>
                <w:rFonts w:ascii="Courier New" w:cs="Courier New" w:eastAsia="Courier New" w:hAnsi="Courier New"/>
                <w:sz w:val="15"/>
                <w:szCs w:val="15"/>
                <w:color w:val="auto"/>
              </w:rPr>
              <w:t>(c) Exhibits.</w:t>
            </w:r>
          </w:p>
        </w:tc>
        <w:tc>
          <w:tcPr>
            <w:tcW w:w="5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3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Reference is made to the Exhibits</w:t>
            </w:r>
          </w:p>
        </w:tc>
        <w:tc>
          <w:tcPr>
            <w:tcW w:w="3540" w:type="dxa"/>
            <w:vAlign w:val="bottom"/>
          </w:tcPr>
          <w:p>
            <w:pPr>
              <w:ind w:left="40"/>
              <w:spacing w:after="0"/>
              <w:rPr>
                <w:sz w:val="20"/>
                <w:szCs w:val="20"/>
                <w:color w:val="auto"/>
              </w:rPr>
            </w:pPr>
            <w:r>
              <w:rPr>
                <w:rFonts w:ascii="Courier New" w:cs="Courier New" w:eastAsia="Courier New" w:hAnsi="Courier New"/>
                <w:sz w:val="15"/>
                <w:szCs w:val="15"/>
                <w:color w:val="auto"/>
                <w:w w:val="96"/>
              </w:rPr>
              <w:t>previously filed with the Securities and</w:t>
            </w:r>
          </w:p>
        </w:tc>
        <w:tc>
          <w:tcPr>
            <w:tcW w:w="0" w:type="dxa"/>
            <w:vAlign w:val="bottom"/>
          </w:tcPr>
          <w:p>
            <w:pPr>
              <w:spacing w:after="0"/>
              <w:rPr>
                <w:sz w:val="1"/>
                <w:szCs w:val="1"/>
                <w:color w:val="auto"/>
              </w:rPr>
            </w:pPr>
          </w:p>
        </w:tc>
      </w:tr>
      <w:tr>
        <w:trPr>
          <w:trHeight w:val="168"/>
        </w:trPr>
        <w:tc>
          <w:tcPr>
            <w:tcW w:w="33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Exchange Commission as Exhibits to the</w:t>
            </w:r>
          </w:p>
        </w:tc>
        <w:tc>
          <w:tcPr>
            <w:tcW w:w="3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Company's Report on Form 8-K for the</w:t>
            </w:r>
          </w:p>
        </w:tc>
        <w:tc>
          <w:tcPr>
            <w:tcW w:w="0" w:type="dxa"/>
            <w:vAlign w:val="bottom"/>
          </w:tcPr>
          <w:p>
            <w:pPr>
              <w:spacing w:after="0"/>
              <w:rPr>
                <w:sz w:val="1"/>
                <w:szCs w:val="1"/>
                <w:color w:val="auto"/>
              </w:rPr>
            </w:pPr>
          </w:p>
        </w:tc>
      </w:tr>
      <w:tr>
        <w:trPr>
          <w:trHeight w:val="245"/>
        </w:trPr>
        <w:tc>
          <w:tcPr>
            <w:tcW w:w="286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6"/>
              </w:rPr>
              <w:t>event dated July 29, 1997.</w:t>
            </w:r>
          </w:p>
        </w:tc>
        <w:tc>
          <w:tcPr>
            <w:tcW w:w="52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284"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Stockholders of</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Inventory Management Systems Corporation:</w:t>
      </w:r>
    </w:p>
    <w:p>
      <w:pPr>
        <w:spacing w:after="0" w:line="309" w:lineRule="exact"/>
        <w:rPr>
          <w:sz w:val="20"/>
          <w:szCs w:val="20"/>
          <w:color w:val="auto"/>
        </w:rPr>
      </w:pPr>
    </w:p>
    <w:p>
      <w:pPr>
        <w:jc w:val="both"/>
        <w:ind w:right="3239"/>
        <w:spacing w:after="0" w:line="258" w:lineRule="auto"/>
        <w:rPr>
          <w:sz w:val="20"/>
          <w:szCs w:val="20"/>
          <w:color w:val="auto"/>
        </w:rPr>
      </w:pPr>
      <w:r>
        <w:rPr>
          <w:rFonts w:ascii="Courier New" w:cs="Courier New" w:eastAsia="Courier New" w:hAnsi="Courier New"/>
          <w:sz w:val="15"/>
          <w:szCs w:val="15"/>
          <w:color w:val="auto"/>
        </w:rPr>
        <w:t>We have audited the accompanying balance sheet of INVENTORY MANAGEMENT SYSTEMS, INC. as of October 31, 1996 and the related statements of operations, stockholders' equity (deficit), and cash flows for each of the two years in the period ended October 31, 1996. These financial statements are the responsibility of the Company's management. Our responsibility is to express an opinion on these financial statements based on our audits.</w:t>
      </w:r>
    </w:p>
    <w:p>
      <w:pPr>
        <w:spacing w:after="0" w:line="81" w:lineRule="exact"/>
        <w:rPr>
          <w:sz w:val="20"/>
          <w:szCs w:val="20"/>
          <w:color w:val="auto"/>
        </w:rPr>
      </w:pPr>
    </w:p>
    <w:p>
      <w:pPr>
        <w:jc w:val="both"/>
        <w:ind w:right="3239"/>
        <w:spacing w:after="0" w:line="273"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statements presentation. We believe that our audits provide a reasonable basis for our opinion.</w:t>
      </w:r>
    </w:p>
    <w:p>
      <w:pPr>
        <w:spacing w:after="0" w:line="71" w:lineRule="exact"/>
        <w:rPr>
          <w:sz w:val="20"/>
          <w:szCs w:val="20"/>
          <w:color w:val="auto"/>
        </w:rPr>
      </w:pPr>
    </w:p>
    <w:p>
      <w:pPr>
        <w:jc w:val="both"/>
        <w:ind w:right="3239"/>
        <w:spacing w:after="0" w:line="264"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Inventory Management Systems, Inc. as of October 31, 1996, and results of operations and cash flows for each of the two years in the period ended October 31, 1996, in conformity with generally accepted accounting principles.</w:t>
      </w:r>
    </w:p>
    <w:p>
      <w:pPr>
        <w:spacing w:after="0" w:line="200" w:lineRule="exact"/>
        <w:rPr>
          <w:sz w:val="20"/>
          <w:szCs w:val="20"/>
          <w:color w:val="auto"/>
        </w:rPr>
      </w:pPr>
    </w:p>
    <w:p>
      <w:pPr>
        <w:spacing w:after="0" w:line="211"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5"/>
          <w:szCs w:val="15"/>
          <w:color w:val="auto"/>
        </w:rPr>
        <w:t>/s/ COOPERS &amp; LYBRAND L.L.P.</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22, 1997.</w:t>
      </w:r>
    </w:p>
    <w:p>
      <w:pPr>
        <w:sectPr>
          <w:pgSz w:w="11900" w:h="16838" w:orient="portrait"/>
          <w:cols w:equalWidth="0" w:num="1">
            <w:col w:w="10239"/>
          </w:cols>
          <w:pgMar w:left="220" w:top="766"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INVENTORY MANAGEMENT SYSTEMS,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Balance Sheets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October 31, 1996 and April 30, 1997 (unaudited)</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80" w:type="dxa"/>
            <w:vAlign w:val="bottom"/>
          </w:tcPr>
          <w:p>
            <w:pPr>
              <w:spacing w:after="0"/>
              <w:rPr>
                <w:sz w:val="14"/>
                <w:szCs w:val="14"/>
                <w:color w:val="auto"/>
              </w:rPr>
            </w:pPr>
          </w:p>
        </w:tc>
        <w:tc>
          <w:tcPr>
            <w:tcW w:w="16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5"/>
              </w:rPr>
              <w:t>October 31, 1996</w:t>
            </w: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April 30, 1997</w:t>
            </w:r>
          </w:p>
        </w:tc>
        <w:tc>
          <w:tcPr>
            <w:tcW w:w="0" w:type="dxa"/>
            <w:vAlign w:val="bottom"/>
          </w:tcPr>
          <w:p>
            <w:pPr>
              <w:spacing w:after="0"/>
              <w:rPr>
                <w:sz w:val="1"/>
                <w:szCs w:val="1"/>
                <w:color w:val="auto"/>
              </w:rPr>
            </w:pPr>
          </w:p>
        </w:tc>
      </w:tr>
      <w:tr>
        <w:trPr>
          <w:trHeight w:val="168"/>
        </w:trPr>
        <w:tc>
          <w:tcPr>
            <w:tcW w:w="5780" w:type="dxa"/>
            <w:vAlign w:val="bottom"/>
          </w:tcPr>
          <w:p>
            <w:pPr>
              <w:spacing w:after="0"/>
              <w:rPr>
                <w:sz w:val="14"/>
                <w:szCs w:val="14"/>
                <w:color w:val="auto"/>
              </w:rPr>
            </w:pPr>
          </w:p>
        </w:tc>
        <w:tc>
          <w:tcPr>
            <w:tcW w:w="1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5780" w:type="dxa"/>
            <w:vAlign w:val="bottom"/>
            <w:vMerge w:val="restart"/>
          </w:tcPr>
          <w:p>
            <w:pPr>
              <w:ind w:left="3240"/>
              <w:spacing w:after="0"/>
              <w:rPr>
                <w:sz w:val="20"/>
                <w:szCs w:val="20"/>
                <w:color w:val="auto"/>
              </w:rPr>
            </w:pPr>
            <w:r>
              <w:rPr>
                <w:rFonts w:ascii="Courier New" w:cs="Courier New" w:eastAsia="Courier New" w:hAnsi="Courier New"/>
                <w:sz w:val="15"/>
                <w:szCs w:val="15"/>
                <w:color w:val="auto"/>
              </w:rPr>
              <w:t>ASSETS:</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(Unaudited)</w:t>
            </w:r>
          </w:p>
        </w:tc>
        <w:tc>
          <w:tcPr>
            <w:tcW w:w="0" w:type="dxa"/>
            <w:vAlign w:val="bottom"/>
          </w:tcPr>
          <w:p>
            <w:pPr>
              <w:spacing w:after="0"/>
              <w:rPr>
                <w:sz w:val="1"/>
                <w:szCs w:val="1"/>
                <w:color w:val="auto"/>
              </w:rPr>
            </w:pPr>
          </w:p>
        </w:tc>
      </w:tr>
      <w:tr>
        <w:trPr>
          <w:trHeight w:val="168"/>
        </w:trPr>
        <w:tc>
          <w:tcPr>
            <w:tcW w:w="57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57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rPr>
              <w:t>92,740</w:t>
            </w: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44,756</w:t>
            </w:r>
          </w:p>
        </w:tc>
        <w:tc>
          <w:tcPr>
            <w:tcW w:w="0" w:type="dxa"/>
            <w:vAlign w:val="bottom"/>
          </w:tcPr>
          <w:p>
            <w:pPr>
              <w:spacing w:after="0"/>
              <w:rPr>
                <w:sz w:val="1"/>
                <w:szCs w:val="1"/>
                <w:color w:val="auto"/>
              </w:rPr>
            </w:pPr>
          </w:p>
        </w:tc>
      </w:tr>
      <w:tr>
        <w:trPr>
          <w:trHeight w:val="168"/>
        </w:trPr>
        <w:tc>
          <w:tcPr>
            <w:tcW w:w="5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Cash</w:t>
            </w:r>
          </w:p>
        </w:tc>
        <w:tc>
          <w:tcPr>
            <w:tcW w:w="40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400" w:type="dxa"/>
            <w:vAlign w:val="bottom"/>
          </w:tcPr>
          <w:p>
            <w:pPr>
              <w:spacing w:after="0"/>
              <w:rPr>
                <w:sz w:val="14"/>
                <w:szCs w:val="14"/>
                <w:color w:val="auto"/>
              </w:rPr>
            </w:pPr>
          </w:p>
        </w:tc>
        <w:tc>
          <w:tcPr>
            <w:tcW w:w="1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246,597</w:t>
            </w:r>
          </w:p>
        </w:tc>
        <w:tc>
          <w:tcPr>
            <w:tcW w:w="6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118,970</w:t>
            </w:r>
          </w:p>
        </w:tc>
        <w:tc>
          <w:tcPr>
            <w:tcW w:w="0" w:type="dxa"/>
            <w:vAlign w:val="bottom"/>
          </w:tcPr>
          <w:p>
            <w:pPr>
              <w:spacing w:after="0"/>
              <w:rPr>
                <w:sz w:val="1"/>
                <w:szCs w:val="1"/>
                <w:color w:val="auto"/>
              </w:rPr>
            </w:pPr>
          </w:p>
        </w:tc>
      </w:tr>
      <w:tr>
        <w:trPr>
          <w:trHeight w:val="168"/>
        </w:trPr>
        <w:tc>
          <w:tcPr>
            <w:tcW w:w="5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Inventories</w:t>
            </w:r>
          </w:p>
        </w:tc>
        <w:tc>
          <w:tcPr>
            <w:tcW w:w="400" w:type="dxa"/>
            <w:vAlign w:val="bottom"/>
          </w:tcPr>
          <w:p>
            <w:pPr>
              <w:spacing w:after="0"/>
              <w:rPr>
                <w:sz w:val="14"/>
                <w:szCs w:val="14"/>
                <w:color w:val="auto"/>
              </w:rPr>
            </w:pPr>
          </w:p>
        </w:tc>
        <w:tc>
          <w:tcPr>
            <w:tcW w:w="1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84,932</w:t>
            </w:r>
          </w:p>
        </w:tc>
        <w:tc>
          <w:tcPr>
            <w:tcW w:w="6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76,125</w:t>
            </w:r>
          </w:p>
        </w:tc>
        <w:tc>
          <w:tcPr>
            <w:tcW w:w="0" w:type="dxa"/>
            <w:vAlign w:val="bottom"/>
          </w:tcPr>
          <w:p>
            <w:pPr>
              <w:spacing w:after="0"/>
              <w:rPr>
                <w:sz w:val="1"/>
                <w:szCs w:val="1"/>
                <w:color w:val="auto"/>
              </w:rPr>
            </w:pPr>
          </w:p>
        </w:tc>
      </w:tr>
      <w:tr>
        <w:trPr>
          <w:trHeight w:val="168"/>
        </w:trPr>
        <w:tc>
          <w:tcPr>
            <w:tcW w:w="5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Due from shareholders</w:t>
            </w:r>
          </w:p>
        </w:tc>
        <w:tc>
          <w:tcPr>
            <w:tcW w:w="400" w:type="dxa"/>
            <w:vAlign w:val="bottom"/>
          </w:tcPr>
          <w:p>
            <w:pPr>
              <w:spacing w:after="0"/>
              <w:rPr>
                <w:sz w:val="14"/>
                <w:szCs w:val="14"/>
                <w:color w:val="auto"/>
              </w:rPr>
            </w:pPr>
          </w:p>
        </w:tc>
        <w:tc>
          <w:tcPr>
            <w:tcW w:w="1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119,049</w:t>
            </w:r>
          </w:p>
        </w:tc>
        <w:tc>
          <w:tcPr>
            <w:tcW w:w="6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42,979</w:t>
            </w:r>
          </w:p>
        </w:tc>
        <w:tc>
          <w:tcPr>
            <w:tcW w:w="0" w:type="dxa"/>
            <w:vAlign w:val="bottom"/>
          </w:tcPr>
          <w:p>
            <w:pPr>
              <w:spacing w:after="0"/>
              <w:rPr>
                <w:sz w:val="1"/>
                <w:szCs w:val="1"/>
                <w:color w:val="auto"/>
              </w:rPr>
            </w:pPr>
          </w:p>
        </w:tc>
      </w:tr>
      <w:tr>
        <w:trPr>
          <w:trHeight w:val="168"/>
        </w:trPr>
        <w:tc>
          <w:tcPr>
            <w:tcW w:w="5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Due from related party</w:t>
            </w:r>
          </w:p>
        </w:tc>
        <w:tc>
          <w:tcPr>
            <w:tcW w:w="400" w:type="dxa"/>
            <w:vAlign w:val="bottom"/>
          </w:tcPr>
          <w:p>
            <w:pPr>
              <w:spacing w:after="0"/>
              <w:rPr>
                <w:sz w:val="14"/>
                <w:szCs w:val="14"/>
                <w:color w:val="auto"/>
              </w:rPr>
            </w:pPr>
          </w:p>
        </w:tc>
        <w:tc>
          <w:tcPr>
            <w:tcW w:w="1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113,000</w:t>
            </w:r>
          </w:p>
        </w:tc>
        <w:tc>
          <w:tcPr>
            <w:tcW w:w="6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10,209</w:t>
            </w:r>
          </w:p>
        </w:tc>
        <w:tc>
          <w:tcPr>
            <w:tcW w:w="0" w:type="dxa"/>
            <w:vAlign w:val="bottom"/>
          </w:tcPr>
          <w:p>
            <w:pPr>
              <w:spacing w:after="0"/>
              <w:rPr>
                <w:sz w:val="1"/>
                <w:szCs w:val="1"/>
                <w:color w:val="auto"/>
              </w:rPr>
            </w:pPr>
          </w:p>
        </w:tc>
      </w:tr>
      <w:tr>
        <w:trPr>
          <w:trHeight w:val="168"/>
        </w:trPr>
        <w:tc>
          <w:tcPr>
            <w:tcW w:w="5780" w:type="dxa"/>
            <w:vAlign w:val="bottom"/>
            <w:vMerge w:val="restart"/>
          </w:tcPr>
          <w:p>
            <w:pPr>
              <w:ind w:left="1240"/>
              <w:spacing w:after="0"/>
              <w:rPr>
                <w:sz w:val="20"/>
                <w:szCs w:val="20"/>
                <w:color w:val="auto"/>
              </w:rPr>
            </w:pPr>
            <w:r>
              <w:rPr>
                <w:rFonts w:ascii="Courier New" w:cs="Courier New" w:eastAsia="Courier New" w:hAnsi="Courier New"/>
                <w:sz w:val="15"/>
                <w:szCs w:val="15"/>
                <w:color w:val="auto"/>
              </w:rPr>
              <w:t>Total current assets</w:t>
            </w:r>
          </w:p>
        </w:tc>
        <w:tc>
          <w:tcPr>
            <w:tcW w:w="162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7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656,318</w:t>
            </w:r>
          </w:p>
        </w:tc>
        <w:tc>
          <w:tcPr>
            <w:tcW w:w="6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293,039</w:t>
            </w:r>
          </w:p>
        </w:tc>
        <w:tc>
          <w:tcPr>
            <w:tcW w:w="0" w:type="dxa"/>
            <w:vAlign w:val="bottom"/>
          </w:tcPr>
          <w:p>
            <w:pPr>
              <w:spacing w:after="0"/>
              <w:rPr>
                <w:sz w:val="1"/>
                <w:szCs w:val="1"/>
                <w:color w:val="auto"/>
              </w:rPr>
            </w:pP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Fixed assets, net</w:t>
            </w:r>
          </w:p>
        </w:tc>
        <w:tc>
          <w:tcPr>
            <w:tcW w:w="400" w:type="dxa"/>
            <w:vAlign w:val="bottom"/>
          </w:tcPr>
          <w:p>
            <w:pPr>
              <w:spacing w:after="0"/>
              <w:rPr>
                <w:sz w:val="14"/>
                <w:szCs w:val="14"/>
                <w:color w:val="auto"/>
              </w:rPr>
            </w:pPr>
          </w:p>
        </w:tc>
        <w:tc>
          <w:tcPr>
            <w:tcW w:w="1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69,420</w:t>
            </w:r>
          </w:p>
        </w:tc>
        <w:tc>
          <w:tcPr>
            <w:tcW w:w="6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36,023</w:t>
            </w:r>
          </w:p>
        </w:tc>
        <w:tc>
          <w:tcPr>
            <w:tcW w:w="0" w:type="dxa"/>
            <w:vAlign w:val="bottom"/>
          </w:tcPr>
          <w:p>
            <w:pPr>
              <w:spacing w:after="0"/>
              <w:rPr>
                <w:sz w:val="1"/>
                <w:szCs w:val="1"/>
                <w:color w:val="auto"/>
              </w:rPr>
            </w:pPr>
          </w:p>
        </w:tc>
      </w:tr>
      <w:tr>
        <w:trPr>
          <w:trHeight w:val="168"/>
        </w:trPr>
        <w:tc>
          <w:tcPr>
            <w:tcW w:w="5780" w:type="dxa"/>
            <w:vAlign w:val="bottom"/>
            <w:vMerge w:val="restart"/>
          </w:tcPr>
          <w:p>
            <w:pPr>
              <w:ind w:left="1240"/>
              <w:spacing w:after="0"/>
              <w:rPr>
                <w:sz w:val="20"/>
                <w:szCs w:val="20"/>
                <w:color w:val="auto"/>
              </w:rPr>
            </w:pPr>
            <w:r>
              <w:rPr>
                <w:rFonts w:ascii="Courier New" w:cs="Courier New" w:eastAsia="Courier New" w:hAnsi="Courier New"/>
                <w:sz w:val="15"/>
                <w:szCs w:val="15"/>
                <w:color w:val="auto"/>
              </w:rPr>
              <w:t>Total assets</w:t>
            </w:r>
          </w:p>
        </w:tc>
        <w:tc>
          <w:tcPr>
            <w:tcW w:w="162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780" w:type="dxa"/>
            <w:vAlign w:val="bottom"/>
            <w:vMerge w:val="continue"/>
          </w:tcPr>
          <w:p>
            <w:pPr>
              <w:spacing w:after="0"/>
              <w:rPr>
                <w:sz w:val="14"/>
                <w:szCs w:val="14"/>
                <w:color w:val="auto"/>
              </w:rPr>
            </w:pPr>
          </w:p>
        </w:tc>
        <w:tc>
          <w:tcPr>
            <w:tcW w:w="162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$ 725,738</w:t>
            </w:r>
          </w:p>
        </w:tc>
        <w:tc>
          <w:tcPr>
            <w:tcW w:w="1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$ 329,062</w:t>
            </w:r>
          </w:p>
        </w:tc>
        <w:tc>
          <w:tcPr>
            <w:tcW w:w="0" w:type="dxa"/>
            <w:vAlign w:val="bottom"/>
          </w:tcPr>
          <w:p>
            <w:pPr>
              <w:spacing w:after="0"/>
              <w:rPr>
                <w:sz w:val="1"/>
                <w:szCs w:val="1"/>
                <w:color w:val="auto"/>
              </w:rPr>
            </w:pPr>
          </w:p>
        </w:tc>
      </w:tr>
      <w:tr>
        <w:trPr>
          <w:trHeight w:val="245"/>
        </w:trPr>
        <w:tc>
          <w:tcPr>
            <w:tcW w:w="5780" w:type="dxa"/>
            <w:vAlign w:val="bottom"/>
          </w:tcPr>
          <w:p>
            <w:pPr>
              <w:spacing w:after="0"/>
              <w:rPr>
                <w:sz w:val="21"/>
                <w:szCs w:val="21"/>
                <w:color w:val="auto"/>
              </w:rPr>
            </w:pPr>
          </w:p>
        </w:tc>
        <w:tc>
          <w:tcPr>
            <w:tcW w:w="162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5780" w:type="dxa"/>
            <w:vAlign w:val="bottom"/>
          </w:tcPr>
          <w:p>
            <w:pPr>
              <w:ind w:left="1500"/>
              <w:spacing w:after="0"/>
              <w:rPr>
                <w:sz w:val="20"/>
                <w:szCs w:val="20"/>
                <w:color w:val="auto"/>
              </w:rPr>
            </w:pPr>
            <w:r>
              <w:rPr>
                <w:rFonts w:ascii="Courier New" w:cs="Courier New" w:eastAsia="Courier New" w:hAnsi="Courier New"/>
                <w:sz w:val="15"/>
                <w:szCs w:val="15"/>
                <w:color w:val="auto"/>
              </w:rPr>
              <w:t>LIABILITIES and STOCKHOLDERS' (DEFICIT) EQUITY:</w:t>
            </w: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57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rPr>
              <w:t>12,574</w:t>
            </w: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16,937</w:t>
            </w:r>
          </w:p>
        </w:tc>
        <w:tc>
          <w:tcPr>
            <w:tcW w:w="0" w:type="dxa"/>
            <w:vAlign w:val="bottom"/>
          </w:tcPr>
          <w:p>
            <w:pPr>
              <w:spacing w:after="0"/>
              <w:rPr>
                <w:sz w:val="1"/>
                <w:szCs w:val="1"/>
                <w:color w:val="auto"/>
              </w:rPr>
            </w:pPr>
          </w:p>
        </w:tc>
      </w:tr>
      <w:tr>
        <w:trPr>
          <w:trHeight w:val="168"/>
        </w:trPr>
        <w:tc>
          <w:tcPr>
            <w:tcW w:w="5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Current portion of note payable</w:t>
            </w:r>
          </w:p>
        </w:tc>
        <w:tc>
          <w:tcPr>
            <w:tcW w:w="40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Line of credit</w:t>
            </w:r>
          </w:p>
        </w:tc>
        <w:tc>
          <w:tcPr>
            <w:tcW w:w="400" w:type="dxa"/>
            <w:vAlign w:val="bottom"/>
          </w:tcPr>
          <w:p>
            <w:pPr>
              <w:spacing w:after="0"/>
              <w:rPr>
                <w:sz w:val="14"/>
                <w:szCs w:val="14"/>
                <w:color w:val="auto"/>
              </w:rPr>
            </w:pPr>
          </w:p>
        </w:tc>
        <w:tc>
          <w:tcPr>
            <w:tcW w:w="1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190,400</w:t>
            </w:r>
          </w:p>
        </w:tc>
        <w:tc>
          <w:tcPr>
            <w:tcW w:w="620" w:type="dxa"/>
            <w:vAlign w:val="bottom"/>
          </w:tcPr>
          <w:p>
            <w:pPr>
              <w:spacing w:after="0"/>
              <w:rPr>
                <w:sz w:val="14"/>
                <w:szCs w:val="14"/>
                <w:color w:val="auto"/>
              </w:rPr>
            </w:pPr>
          </w:p>
        </w:tc>
        <w:tc>
          <w:tcPr>
            <w:tcW w:w="8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8"/>
              </w:rPr>
              <w:t>174,603</w:t>
            </w:r>
          </w:p>
        </w:tc>
        <w:tc>
          <w:tcPr>
            <w:tcW w:w="0" w:type="dxa"/>
            <w:vAlign w:val="bottom"/>
          </w:tcPr>
          <w:p>
            <w:pPr>
              <w:spacing w:after="0"/>
              <w:rPr>
                <w:sz w:val="1"/>
                <w:szCs w:val="1"/>
                <w:color w:val="auto"/>
              </w:rPr>
            </w:pPr>
          </w:p>
        </w:tc>
      </w:tr>
      <w:tr>
        <w:trPr>
          <w:trHeight w:val="168"/>
        </w:trPr>
        <w:tc>
          <w:tcPr>
            <w:tcW w:w="5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Accounts payable</w:t>
            </w:r>
          </w:p>
        </w:tc>
        <w:tc>
          <w:tcPr>
            <w:tcW w:w="400" w:type="dxa"/>
            <w:vAlign w:val="bottom"/>
          </w:tcPr>
          <w:p>
            <w:pPr>
              <w:spacing w:after="0"/>
              <w:rPr>
                <w:sz w:val="14"/>
                <w:szCs w:val="14"/>
                <w:color w:val="auto"/>
              </w:rPr>
            </w:pPr>
          </w:p>
        </w:tc>
        <w:tc>
          <w:tcPr>
            <w:tcW w:w="1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548,691</w:t>
            </w:r>
          </w:p>
        </w:tc>
        <w:tc>
          <w:tcPr>
            <w:tcW w:w="6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780" w:type="dxa"/>
            <w:vAlign w:val="bottom"/>
            <w:vMerge w:val="restart"/>
          </w:tcPr>
          <w:p>
            <w:pPr>
              <w:ind w:left="1240"/>
              <w:spacing w:after="0"/>
              <w:rPr>
                <w:sz w:val="20"/>
                <w:szCs w:val="20"/>
                <w:color w:val="auto"/>
              </w:rPr>
            </w:pPr>
            <w:r>
              <w:rPr>
                <w:rFonts w:ascii="Courier New" w:cs="Courier New" w:eastAsia="Courier New" w:hAnsi="Courier New"/>
                <w:sz w:val="15"/>
                <w:szCs w:val="15"/>
                <w:color w:val="auto"/>
              </w:rPr>
              <w:t>Total current liabilities</w:t>
            </w:r>
          </w:p>
        </w:tc>
        <w:tc>
          <w:tcPr>
            <w:tcW w:w="162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5780" w:type="dxa"/>
            <w:vAlign w:val="bottom"/>
            <w:vMerge w:val="continue"/>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751,665</w:t>
            </w:r>
          </w:p>
        </w:tc>
        <w:tc>
          <w:tcPr>
            <w:tcW w:w="620" w:type="dxa"/>
            <w:vAlign w:val="bottom"/>
          </w:tcPr>
          <w:p>
            <w:pPr>
              <w:spacing w:after="0"/>
              <w:rPr>
                <w:sz w:val="21"/>
                <w:szCs w:val="21"/>
                <w:color w:val="auto"/>
              </w:rPr>
            </w:pPr>
          </w:p>
        </w:tc>
        <w:tc>
          <w:tcPr>
            <w:tcW w:w="8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191,540</w:t>
            </w:r>
          </w:p>
        </w:tc>
        <w:tc>
          <w:tcPr>
            <w:tcW w:w="0" w:type="dxa"/>
            <w:vAlign w:val="bottom"/>
          </w:tcPr>
          <w:p>
            <w:pPr>
              <w:spacing w:after="0"/>
              <w:rPr>
                <w:sz w:val="1"/>
                <w:szCs w:val="1"/>
                <w:color w:val="auto"/>
              </w:rPr>
            </w:pPr>
          </w:p>
        </w:tc>
      </w:tr>
      <w:tr>
        <w:trPr>
          <w:trHeight w:val="259"/>
        </w:trPr>
        <w:tc>
          <w:tcPr>
            <w:tcW w:w="5780" w:type="dxa"/>
            <w:vAlign w:val="bottom"/>
          </w:tcPr>
          <w:p>
            <w:pPr>
              <w:spacing w:after="0"/>
              <w:rPr>
                <w:sz w:val="20"/>
                <w:szCs w:val="20"/>
                <w:color w:val="auto"/>
              </w:rPr>
            </w:pPr>
            <w:r>
              <w:rPr>
                <w:rFonts w:ascii="Courier New" w:cs="Courier New" w:eastAsia="Courier New" w:hAnsi="Courier New"/>
                <w:sz w:val="15"/>
                <w:szCs w:val="15"/>
                <w:color w:val="auto"/>
              </w:rPr>
              <w:t>Note payable, net of current portion</w:t>
            </w:r>
          </w:p>
        </w:tc>
        <w:tc>
          <w:tcPr>
            <w:tcW w:w="400" w:type="dxa"/>
            <w:vAlign w:val="bottom"/>
          </w:tcPr>
          <w:p>
            <w:pPr>
              <w:spacing w:after="0"/>
              <w:rPr>
                <w:sz w:val="22"/>
                <w:szCs w:val="22"/>
                <w:color w:val="auto"/>
              </w:rPr>
            </w:pPr>
          </w:p>
        </w:tc>
        <w:tc>
          <w:tcPr>
            <w:tcW w:w="12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10,510</w:t>
            </w:r>
          </w:p>
        </w:tc>
        <w:tc>
          <w:tcPr>
            <w:tcW w:w="620" w:type="dxa"/>
            <w:vAlign w:val="bottom"/>
          </w:tcPr>
          <w:p>
            <w:pPr>
              <w:spacing w:after="0"/>
              <w:rPr>
                <w:sz w:val="22"/>
                <w:szCs w:val="22"/>
                <w:color w:val="auto"/>
              </w:rPr>
            </w:pPr>
          </w:p>
        </w:tc>
        <w:tc>
          <w:tcPr>
            <w:tcW w:w="8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780" w:type="dxa"/>
            <w:vAlign w:val="bottom"/>
            <w:vMerge w:val="restart"/>
          </w:tcPr>
          <w:p>
            <w:pPr>
              <w:ind w:left="1240"/>
              <w:spacing w:after="0"/>
              <w:rPr>
                <w:sz w:val="20"/>
                <w:szCs w:val="20"/>
                <w:color w:val="auto"/>
              </w:rPr>
            </w:pPr>
            <w:r>
              <w:rPr>
                <w:rFonts w:ascii="Courier New" w:cs="Courier New" w:eastAsia="Courier New" w:hAnsi="Courier New"/>
                <w:sz w:val="15"/>
                <w:szCs w:val="15"/>
                <w:color w:val="auto"/>
              </w:rPr>
              <w:t>Total liabilities</w:t>
            </w:r>
          </w:p>
        </w:tc>
        <w:tc>
          <w:tcPr>
            <w:tcW w:w="162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7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762,175</w:t>
            </w:r>
          </w:p>
        </w:tc>
        <w:tc>
          <w:tcPr>
            <w:tcW w:w="6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191,540</w:t>
            </w:r>
          </w:p>
        </w:tc>
        <w:tc>
          <w:tcPr>
            <w:tcW w:w="0" w:type="dxa"/>
            <w:vAlign w:val="bottom"/>
          </w:tcPr>
          <w:p>
            <w:pPr>
              <w:spacing w:after="0"/>
              <w:rPr>
                <w:sz w:val="1"/>
                <w:szCs w:val="1"/>
                <w:color w:val="auto"/>
              </w:rPr>
            </w:pPr>
          </w:p>
        </w:tc>
      </w:tr>
      <w:tr>
        <w:trPr>
          <w:trHeight w:val="245"/>
        </w:trPr>
        <w:tc>
          <w:tcPr>
            <w:tcW w:w="5780" w:type="dxa"/>
            <w:vAlign w:val="bottom"/>
          </w:tcPr>
          <w:p>
            <w:pPr>
              <w:spacing w:after="0"/>
              <w:rPr>
                <w:sz w:val="21"/>
                <w:szCs w:val="21"/>
                <w:color w:val="auto"/>
              </w:rPr>
            </w:pPr>
          </w:p>
        </w:tc>
        <w:tc>
          <w:tcPr>
            <w:tcW w:w="162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Stockholders' (deficit) equity:</w:t>
            </w: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5780" w:type="dxa"/>
            <w:vAlign w:val="bottom"/>
          </w:tcPr>
          <w:p>
            <w:pPr>
              <w:ind w:left="280"/>
              <w:spacing w:after="0"/>
              <w:rPr>
                <w:sz w:val="20"/>
                <w:szCs w:val="20"/>
                <w:color w:val="auto"/>
              </w:rPr>
            </w:pPr>
            <w:r>
              <w:rPr>
                <w:rFonts w:ascii="Courier New" w:cs="Courier New" w:eastAsia="Courier New" w:hAnsi="Courier New"/>
                <w:sz w:val="15"/>
                <w:szCs w:val="15"/>
                <w:color w:val="auto"/>
              </w:rPr>
              <w:t>Common stock, no par value; 5,000 shares authorized;</w:t>
            </w:r>
          </w:p>
        </w:tc>
        <w:tc>
          <w:tcPr>
            <w:tcW w:w="400" w:type="dxa"/>
            <w:vAlign w:val="bottom"/>
          </w:tcPr>
          <w:p>
            <w:pPr>
              <w:spacing w:after="0"/>
              <w:rPr>
                <w:sz w:val="22"/>
                <w:szCs w:val="22"/>
                <w:color w:val="auto"/>
              </w:rPr>
            </w:pPr>
          </w:p>
        </w:tc>
        <w:tc>
          <w:tcPr>
            <w:tcW w:w="122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rPr>
              <w:t>1,000</w:t>
            </w:r>
          </w:p>
        </w:tc>
        <w:tc>
          <w:tcPr>
            <w:tcW w:w="620" w:type="dxa"/>
            <w:vAlign w:val="bottom"/>
          </w:tcPr>
          <w:p>
            <w:pPr>
              <w:spacing w:after="0"/>
              <w:rPr>
                <w:sz w:val="22"/>
                <w:szCs w:val="22"/>
                <w:color w:val="auto"/>
              </w:rPr>
            </w:pPr>
          </w:p>
        </w:tc>
        <w:tc>
          <w:tcPr>
            <w:tcW w:w="8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1,000</w:t>
            </w:r>
          </w:p>
        </w:tc>
        <w:tc>
          <w:tcPr>
            <w:tcW w:w="0" w:type="dxa"/>
            <w:vAlign w:val="bottom"/>
          </w:tcPr>
          <w:p>
            <w:pPr>
              <w:spacing w:after="0"/>
              <w:rPr>
                <w:sz w:val="1"/>
                <w:szCs w:val="1"/>
                <w:color w:val="auto"/>
              </w:rPr>
            </w:pPr>
          </w:p>
        </w:tc>
      </w:tr>
      <w:tr>
        <w:trPr>
          <w:trHeight w:val="168"/>
        </w:trPr>
        <w:tc>
          <w:tcPr>
            <w:tcW w:w="57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40 shares issued and outstanding</w:t>
            </w:r>
          </w:p>
        </w:tc>
        <w:tc>
          <w:tcPr>
            <w:tcW w:w="4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Retained earnings (deficit)</w:t>
            </w:r>
          </w:p>
        </w:tc>
        <w:tc>
          <w:tcPr>
            <w:tcW w:w="40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9"/>
              </w:rPr>
              <w:t>(37,437)</w:t>
            </w:r>
          </w:p>
        </w:tc>
        <w:tc>
          <w:tcPr>
            <w:tcW w:w="6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136,522</w:t>
            </w:r>
          </w:p>
        </w:tc>
        <w:tc>
          <w:tcPr>
            <w:tcW w:w="0" w:type="dxa"/>
            <w:vAlign w:val="bottom"/>
          </w:tcPr>
          <w:p>
            <w:pPr>
              <w:spacing w:after="0"/>
              <w:rPr>
                <w:sz w:val="1"/>
                <w:szCs w:val="1"/>
                <w:color w:val="auto"/>
              </w:rPr>
            </w:pPr>
          </w:p>
        </w:tc>
      </w:tr>
      <w:tr>
        <w:trPr>
          <w:trHeight w:val="168"/>
        </w:trPr>
        <w:tc>
          <w:tcPr>
            <w:tcW w:w="5780" w:type="dxa"/>
            <w:vAlign w:val="bottom"/>
            <w:vMerge w:val="restart"/>
          </w:tcPr>
          <w:p>
            <w:pPr>
              <w:ind w:left="1240"/>
              <w:spacing w:after="0"/>
              <w:rPr>
                <w:sz w:val="20"/>
                <w:szCs w:val="20"/>
                <w:color w:val="auto"/>
              </w:rPr>
            </w:pPr>
            <w:r>
              <w:rPr>
                <w:rFonts w:ascii="Courier New" w:cs="Courier New" w:eastAsia="Courier New" w:hAnsi="Courier New"/>
                <w:sz w:val="15"/>
                <w:szCs w:val="15"/>
                <w:color w:val="auto"/>
              </w:rPr>
              <w:t>Total stockholders' (deficit) equity</w:t>
            </w:r>
          </w:p>
        </w:tc>
        <w:tc>
          <w:tcPr>
            <w:tcW w:w="162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7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9"/>
              </w:rPr>
              <w:t>(36,437)</w:t>
            </w:r>
          </w:p>
        </w:tc>
        <w:tc>
          <w:tcPr>
            <w:tcW w:w="6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137,522</w:t>
            </w:r>
          </w:p>
        </w:tc>
        <w:tc>
          <w:tcPr>
            <w:tcW w:w="0" w:type="dxa"/>
            <w:vAlign w:val="bottom"/>
          </w:tcPr>
          <w:p>
            <w:pPr>
              <w:spacing w:after="0"/>
              <w:rPr>
                <w:sz w:val="1"/>
                <w:szCs w:val="1"/>
                <w:color w:val="auto"/>
              </w:rPr>
            </w:pPr>
          </w:p>
        </w:tc>
      </w:tr>
      <w:tr>
        <w:trPr>
          <w:trHeight w:val="168"/>
        </w:trPr>
        <w:tc>
          <w:tcPr>
            <w:tcW w:w="5780" w:type="dxa"/>
            <w:vAlign w:val="bottom"/>
            <w:vMerge w:val="restart"/>
          </w:tcPr>
          <w:p>
            <w:pPr>
              <w:ind w:left="1240"/>
              <w:spacing w:after="0"/>
              <w:rPr>
                <w:sz w:val="20"/>
                <w:szCs w:val="20"/>
                <w:color w:val="auto"/>
              </w:rPr>
            </w:pPr>
            <w:r>
              <w:rPr>
                <w:rFonts w:ascii="Courier New" w:cs="Courier New" w:eastAsia="Courier New" w:hAnsi="Courier New"/>
                <w:sz w:val="15"/>
                <w:szCs w:val="15"/>
                <w:color w:val="auto"/>
                <w:w w:val="96"/>
              </w:rPr>
              <w:t>Total liabilities and stockholders' (deficit) equity</w:t>
            </w:r>
          </w:p>
        </w:tc>
        <w:tc>
          <w:tcPr>
            <w:tcW w:w="162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780" w:type="dxa"/>
            <w:vAlign w:val="bottom"/>
            <w:vMerge w:val="continue"/>
          </w:tcPr>
          <w:p>
            <w:pPr>
              <w:spacing w:after="0"/>
              <w:rPr>
                <w:sz w:val="14"/>
                <w:szCs w:val="14"/>
                <w:color w:val="auto"/>
              </w:rPr>
            </w:pPr>
          </w:p>
        </w:tc>
        <w:tc>
          <w:tcPr>
            <w:tcW w:w="162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$ 725,738</w:t>
            </w:r>
          </w:p>
        </w:tc>
        <w:tc>
          <w:tcPr>
            <w:tcW w:w="1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$ 329,062</w:t>
            </w:r>
          </w:p>
        </w:tc>
        <w:tc>
          <w:tcPr>
            <w:tcW w:w="0" w:type="dxa"/>
            <w:vAlign w:val="bottom"/>
          </w:tcPr>
          <w:p>
            <w:pPr>
              <w:spacing w:after="0"/>
              <w:rPr>
                <w:sz w:val="1"/>
                <w:szCs w:val="1"/>
                <w:color w:val="auto"/>
              </w:rPr>
            </w:pPr>
          </w:p>
        </w:tc>
      </w:tr>
      <w:tr>
        <w:trPr>
          <w:trHeight w:val="245"/>
        </w:trPr>
        <w:tc>
          <w:tcPr>
            <w:tcW w:w="5780" w:type="dxa"/>
            <w:vAlign w:val="bottom"/>
          </w:tcPr>
          <w:p>
            <w:pPr>
              <w:spacing w:after="0"/>
              <w:rPr>
                <w:sz w:val="21"/>
                <w:szCs w:val="21"/>
                <w:color w:val="auto"/>
              </w:rPr>
            </w:pPr>
          </w:p>
        </w:tc>
        <w:tc>
          <w:tcPr>
            <w:tcW w:w="162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166" w:lineRule="exact"/>
        <w:rPr>
          <w:sz w:val="20"/>
          <w:szCs w:val="20"/>
          <w:color w:val="auto"/>
        </w:rPr>
      </w:pPr>
    </w:p>
    <w:p>
      <w:pPr>
        <w:ind w:left="69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766"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INVENTORY MANAGEMENT SYSTEMS,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Statements of Operations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years ended October 31, 1995 and 1996 and the</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six months ended April 30, 1996 and 1997 (unaudited)</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October</w:t>
            </w:r>
          </w:p>
        </w:tc>
        <w:tc>
          <w:tcPr>
            <w:tcW w:w="11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31,</w:t>
            </w:r>
          </w:p>
        </w:tc>
        <w:tc>
          <w:tcPr>
            <w:tcW w:w="340" w:type="dxa"/>
            <w:vAlign w:val="bottom"/>
          </w:tcPr>
          <w:p>
            <w:pPr>
              <w:spacing w:after="0"/>
              <w:rPr>
                <w:sz w:val="14"/>
                <w:szCs w:val="14"/>
                <w:color w:val="auto"/>
              </w:rPr>
            </w:pPr>
          </w:p>
        </w:tc>
        <w:tc>
          <w:tcPr>
            <w:tcW w:w="202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April 30,</w:t>
            </w:r>
          </w:p>
        </w:tc>
        <w:tc>
          <w:tcPr>
            <w:tcW w:w="0" w:type="dxa"/>
            <w:vAlign w:val="bottom"/>
          </w:tcPr>
          <w:p>
            <w:pPr>
              <w:spacing w:after="0"/>
              <w:rPr>
                <w:sz w:val="1"/>
                <w:szCs w:val="1"/>
                <w:color w:val="auto"/>
              </w:rPr>
            </w:pPr>
          </w:p>
        </w:tc>
      </w:tr>
      <w:tr>
        <w:trPr>
          <w:trHeight w:val="168"/>
        </w:trPr>
        <w:tc>
          <w:tcPr>
            <w:tcW w:w="3900" w:type="dxa"/>
            <w:vAlign w:val="bottom"/>
          </w:tcPr>
          <w:p>
            <w:pPr>
              <w:spacing w:after="0"/>
              <w:rPr>
                <w:sz w:val="14"/>
                <w:szCs w:val="14"/>
                <w:color w:val="auto"/>
              </w:rPr>
            </w:pPr>
          </w:p>
        </w:tc>
        <w:tc>
          <w:tcPr>
            <w:tcW w:w="300" w:type="dxa"/>
            <w:vAlign w:val="bottom"/>
          </w:tcPr>
          <w:p>
            <w:pPr>
              <w:ind w:left="140"/>
              <w:spacing w:after="0"/>
              <w:rPr>
                <w:sz w:val="20"/>
                <w:szCs w:val="20"/>
                <w:color w:val="auto"/>
              </w:rPr>
            </w:pPr>
            <w:r>
              <w:rPr>
                <w:rFonts w:ascii="Courier New" w:cs="Courier New" w:eastAsia="Courier New" w:hAnsi="Courier New"/>
                <w:sz w:val="1"/>
                <w:szCs w:val="1"/>
                <w:color w:val="auto"/>
                <w:w w:val="89"/>
              </w:rPr>
              <w:t>--------------------------</w:t>
            </w:r>
          </w:p>
        </w:tc>
        <w:tc>
          <w:tcPr>
            <w:tcW w:w="1060" w:type="dxa"/>
            <w:vAlign w:val="bottom"/>
            <w:vMerge w:val="restart"/>
          </w:tcPr>
          <w:p>
            <w:pPr>
              <w:jc w:val="right"/>
              <w:ind w:right="547"/>
              <w:spacing w:after="0"/>
              <w:rPr>
                <w:sz w:val="20"/>
                <w:szCs w:val="20"/>
                <w:color w:val="auto"/>
              </w:rPr>
            </w:pPr>
            <w:r>
              <w:rPr>
                <w:rFonts w:ascii="Courier New" w:cs="Courier New" w:eastAsia="Courier New" w:hAnsi="Courier New"/>
                <w:sz w:val="15"/>
                <w:szCs w:val="15"/>
                <w:color w:val="auto"/>
              </w:rPr>
              <w:t>1995</w:t>
            </w:r>
          </w:p>
        </w:tc>
        <w:tc>
          <w:tcPr>
            <w:tcW w:w="220" w:type="dxa"/>
            <w:vAlign w:val="bottom"/>
          </w:tcPr>
          <w:p>
            <w:pPr>
              <w:spacing w:after="0"/>
              <w:rPr>
                <w:sz w:val="14"/>
                <w:szCs w:val="14"/>
                <w:color w:val="auto"/>
              </w:rPr>
            </w:pPr>
          </w:p>
        </w:tc>
        <w:tc>
          <w:tcPr>
            <w:tcW w:w="92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1996</w:t>
            </w:r>
          </w:p>
        </w:tc>
        <w:tc>
          <w:tcPr>
            <w:tcW w:w="2360" w:type="dxa"/>
            <w:vAlign w:val="bottom"/>
            <w:gridSpan w:val="3"/>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1996</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168"/>
        </w:trPr>
        <w:tc>
          <w:tcPr>
            <w:tcW w:w="3900" w:type="dxa"/>
            <w:vAlign w:val="bottom"/>
          </w:tcPr>
          <w:p>
            <w:pPr>
              <w:spacing w:after="0"/>
              <w:rPr>
                <w:sz w:val="14"/>
                <w:szCs w:val="14"/>
                <w:color w:val="auto"/>
              </w:rPr>
            </w:pPr>
          </w:p>
        </w:tc>
        <w:tc>
          <w:tcPr>
            <w:tcW w:w="13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3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2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(Unaudited)</w:t>
            </w:r>
          </w:p>
        </w:tc>
        <w:tc>
          <w:tcPr>
            <w:tcW w:w="0" w:type="dxa"/>
            <w:vAlign w:val="bottom"/>
          </w:tcPr>
          <w:p>
            <w:pPr>
              <w:spacing w:after="0"/>
              <w:rPr>
                <w:sz w:val="1"/>
                <w:szCs w:val="1"/>
                <w:color w:val="auto"/>
              </w:rPr>
            </w:pPr>
          </w:p>
        </w:tc>
      </w:tr>
      <w:tr>
        <w:trPr>
          <w:trHeight w:val="259"/>
        </w:trPr>
        <w:tc>
          <w:tcPr>
            <w:tcW w:w="39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3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4,461,347</w:t>
            </w:r>
          </w:p>
        </w:tc>
        <w:tc>
          <w:tcPr>
            <w:tcW w:w="11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$ 1,374,419</w:t>
            </w:r>
          </w:p>
        </w:tc>
        <w:tc>
          <w:tcPr>
            <w:tcW w:w="34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753,866</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$ 1,866,421</w:t>
            </w:r>
          </w:p>
        </w:tc>
        <w:tc>
          <w:tcPr>
            <w:tcW w:w="0" w:type="dxa"/>
            <w:vAlign w:val="bottom"/>
          </w:tcPr>
          <w:p>
            <w:pPr>
              <w:spacing w:after="0"/>
              <w:rPr>
                <w:sz w:val="1"/>
                <w:szCs w:val="1"/>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sales</w:t>
            </w:r>
          </w:p>
        </w:tc>
        <w:tc>
          <w:tcPr>
            <w:tcW w:w="3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4,432,074</w:t>
            </w:r>
          </w:p>
        </w:tc>
        <w:tc>
          <w:tcPr>
            <w:tcW w:w="22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1,083,289</w:t>
            </w:r>
          </w:p>
        </w:tc>
        <w:tc>
          <w:tcPr>
            <w:tcW w:w="34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594,181</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1,374,693</w:t>
            </w:r>
          </w:p>
        </w:tc>
        <w:tc>
          <w:tcPr>
            <w:tcW w:w="0" w:type="dxa"/>
            <w:vAlign w:val="bottom"/>
          </w:tcPr>
          <w:p>
            <w:pPr>
              <w:spacing w:after="0"/>
              <w:rPr>
                <w:sz w:val="1"/>
                <w:szCs w:val="1"/>
                <w:color w:val="auto"/>
              </w:rPr>
            </w:pPr>
          </w:p>
        </w:tc>
      </w:tr>
      <w:tr>
        <w:trPr>
          <w:trHeight w:val="168"/>
        </w:trPr>
        <w:tc>
          <w:tcPr>
            <w:tcW w:w="3900" w:type="dxa"/>
            <w:vAlign w:val="bottom"/>
            <w:vMerge w:val="restart"/>
          </w:tcPr>
          <w:p>
            <w:pPr>
              <w:ind w:left="1240"/>
              <w:spacing w:after="0"/>
              <w:rPr>
                <w:sz w:val="20"/>
                <w:szCs w:val="20"/>
                <w:color w:val="auto"/>
              </w:rPr>
            </w:pPr>
            <w:r>
              <w:rPr>
                <w:rFonts w:ascii="Courier New" w:cs="Courier New" w:eastAsia="Courier New" w:hAnsi="Courier New"/>
                <w:sz w:val="15"/>
                <w:szCs w:val="15"/>
                <w:color w:val="auto"/>
              </w:rPr>
              <w:t>Gross profit</w:t>
            </w:r>
          </w:p>
        </w:tc>
        <w:tc>
          <w:tcPr>
            <w:tcW w:w="300" w:type="dxa"/>
            <w:vAlign w:val="bottom"/>
          </w:tcPr>
          <w:p>
            <w:pPr>
              <w:ind w:left="140"/>
              <w:spacing w:after="0"/>
              <w:rPr>
                <w:sz w:val="20"/>
                <w:szCs w:val="20"/>
                <w:color w:val="auto"/>
              </w:rPr>
            </w:pPr>
            <w:r>
              <w:rPr>
                <w:rFonts w:ascii="Courier New" w:cs="Courier New" w:eastAsia="Courier New" w:hAnsi="Courier New"/>
                <w:sz w:val="3"/>
                <w:szCs w:val="3"/>
                <w:color w:val="auto"/>
                <w:w w:val="70"/>
              </w:rPr>
              <w:t>-----------</w:t>
            </w:r>
          </w:p>
        </w:tc>
        <w:tc>
          <w:tcPr>
            <w:tcW w:w="10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29,273</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9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291,130</w:t>
            </w:r>
          </w:p>
        </w:tc>
        <w:tc>
          <w:tcPr>
            <w:tcW w:w="34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159,685</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491,728</w:t>
            </w:r>
          </w:p>
        </w:tc>
        <w:tc>
          <w:tcPr>
            <w:tcW w:w="0" w:type="dxa"/>
            <w:vAlign w:val="bottom"/>
          </w:tcPr>
          <w:p>
            <w:pPr>
              <w:spacing w:after="0"/>
              <w:rPr>
                <w:sz w:val="1"/>
                <w:szCs w:val="1"/>
                <w:color w:val="auto"/>
              </w:rPr>
            </w:pPr>
          </w:p>
        </w:tc>
      </w:tr>
      <w:tr>
        <w:trPr>
          <w:trHeight w:val="245"/>
        </w:trPr>
        <w:tc>
          <w:tcPr>
            <w:tcW w:w="390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expenses:</w:t>
            </w: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39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10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23,975</w:t>
            </w:r>
          </w:p>
        </w:tc>
        <w:tc>
          <w:tcPr>
            <w:tcW w:w="220" w:type="dxa"/>
            <w:vAlign w:val="bottom"/>
          </w:tcPr>
          <w:p>
            <w:pPr>
              <w:spacing w:after="0"/>
              <w:rPr>
                <w:sz w:val="7"/>
                <w:szCs w:val="7"/>
                <w:color w:val="auto"/>
              </w:rPr>
            </w:pPr>
          </w:p>
        </w:tc>
        <w:tc>
          <w:tcPr>
            <w:tcW w:w="9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53,155</w:t>
            </w:r>
          </w:p>
        </w:tc>
        <w:tc>
          <w:tcPr>
            <w:tcW w:w="340" w:type="dxa"/>
            <w:vAlign w:val="bottom"/>
          </w:tcPr>
          <w:p>
            <w:pPr>
              <w:spacing w:after="0"/>
              <w:rPr>
                <w:sz w:val="7"/>
                <w:szCs w:val="7"/>
                <w:color w:val="auto"/>
              </w:rPr>
            </w:pPr>
          </w:p>
        </w:tc>
        <w:tc>
          <w:tcPr>
            <w:tcW w:w="8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41,639</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43,864</w:t>
            </w:r>
          </w:p>
        </w:tc>
        <w:tc>
          <w:tcPr>
            <w:tcW w:w="0" w:type="dxa"/>
            <w:vAlign w:val="bottom"/>
          </w:tcPr>
          <w:p>
            <w:pPr>
              <w:spacing w:after="0"/>
              <w:rPr>
                <w:sz w:val="1"/>
                <w:szCs w:val="1"/>
                <w:color w:val="auto"/>
              </w:rPr>
            </w:pPr>
          </w:p>
        </w:tc>
      </w:tr>
      <w:tr>
        <w:trPr>
          <w:trHeight w:val="168"/>
        </w:trPr>
        <w:tc>
          <w:tcPr>
            <w:tcW w:w="3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Selling and marketing</w:t>
            </w: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3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143,388</w:t>
            </w:r>
          </w:p>
        </w:tc>
        <w:tc>
          <w:tcPr>
            <w:tcW w:w="22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162,134</w:t>
            </w:r>
          </w:p>
        </w:tc>
        <w:tc>
          <w:tcPr>
            <w:tcW w:w="34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79,916</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70,775</w:t>
            </w:r>
          </w:p>
        </w:tc>
        <w:tc>
          <w:tcPr>
            <w:tcW w:w="0" w:type="dxa"/>
            <w:vAlign w:val="bottom"/>
          </w:tcPr>
          <w:p>
            <w:pPr>
              <w:spacing w:after="0"/>
              <w:rPr>
                <w:sz w:val="1"/>
                <w:szCs w:val="1"/>
                <w:color w:val="auto"/>
              </w:rPr>
            </w:pPr>
          </w:p>
        </w:tc>
      </w:tr>
      <w:tr>
        <w:trPr>
          <w:trHeight w:val="168"/>
        </w:trPr>
        <w:tc>
          <w:tcPr>
            <w:tcW w:w="3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3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10,041</w:t>
            </w:r>
          </w:p>
        </w:tc>
        <w:tc>
          <w:tcPr>
            <w:tcW w:w="22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17,052</w:t>
            </w:r>
          </w:p>
        </w:tc>
        <w:tc>
          <w:tcPr>
            <w:tcW w:w="34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8,526</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4,773</w:t>
            </w:r>
          </w:p>
        </w:tc>
        <w:tc>
          <w:tcPr>
            <w:tcW w:w="0" w:type="dxa"/>
            <w:vAlign w:val="bottom"/>
          </w:tcPr>
          <w:p>
            <w:pPr>
              <w:spacing w:after="0"/>
              <w:rPr>
                <w:sz w:val="1"/>
                <w:szCs w:val="1"/>
                <w:color w:val="auto"/>
              </w:rPr>
            </w:pPr>
          </w:p>
        </w:tc>
      </w:tr>
      <w:tr>
        <w:trPr>
          <w:trHeight w:val="168"/>
        </w:trPr>
        <w:tc>
          <w:tcPr>
            <w:tcW w:w="3900" w:type="dxa"/>
            <w:vAlign w:val="bottom"/>
            <w:vMerge w:val="restart"/>
          </w:tcPr>
          <w:p>
            <w:pPr>
              <w:ind w:left="1240"/>
              <w:spacing w:after="0"/>
              <w:rPr>
                <w:sz w:val="20"/>
                <w:szCs w:val="20"/>
                <w:color w:val="auto"/>
              </w:rPr>
            </w:pPr>
            <w:r>
              <w:rPr>
                <w:rFonts w:ascii="Courier New" w:cs="Courier New" w:eastAsia="Courier New" w:hAnsi="Courier New"/>
                <w:sz w:val="15"/>
                <w:szCs w:val="15"/>
                <w:color w:val="auto"/>
              </w:rPr>
              <w:t>Total operating expenses</w:t>
            </w:r>
          </w:p>
        </w:tc>
        <w:tc>
          <w:tcPr>
            <w:tcW w:w="300" w:type="dxa"/>
            <w:vAlign w:val="bottom"/>
          </w:tcPr>
          <w:p>
            <w:pPr>
              <w:ind w:left="140"/>
              <w:spacing w:after="0"/>
              <w:rPr>
                <w:sz w:val="20"/>
                <w:szCs w:val="20"/>
                <w:color w:val="auto"/>
              </w:rPr>
            </w:pPr>
            <w:r>
              <w:rPr>
                <w:rFonts w:ascii="Courier New" w:cs="Courier New" w:eastAsia="Courier New" w:hAnsi="Courier New"/>
                <w:sz w:val="3"/>
                <w:szCs w:val="3"/>
                <w:color w:val="auto"/>
                <w:w w:val="70"/>
              </w:rPr>
              <w:t>-----------</w:t>
            </w:r>
          </w:p>
        </w:tc>
        <w:tc>
          <w:tcPr>
            <w:tcW w:w="10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177,404</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9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232,341</w:t>
            </w:r>
          </w:p>
        </w:tc>
        <w:tc>
          <w:tcPr>
            <w:tcW w:w="34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130,081</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119,412</w:t>
            </w:r>
          </w:p>
        </w:tc>
        <w:tc>
          <w:tcPr>
            <w:tcW w:w="0" w:type="dxa"/>
            <w:vAlign w:val="bottom"/>
          </w:tcPr>
          <w:p>
            <w:pPr>
              <w:spacing w:after="0"/>
              <w:rPr>
                <w:sz w:val="1"/>
                <w:szCs w:val="1"/>
                <w:color w:val="auto"/>
              </w:rPr>
            </w:pPr>
          </w:p>
        </w:tc>
      </w:tr>
      <w:tr>
        <w:trPr>
          <w:trHeight w:val="168"/>
        </w:trPr>
        <w:tc>
          <w:tcPr>
            <w:tcW w:w="3900" w:type="dxa"/>
            <w:vAlign w:val="bottom"/>
            <w:vMerge w:val="restart"/>
          </w:tcPr>
          <w:p>
            <w:pPr>
              <w:ind w:left="1240"/>
              <w:spacing w:after="0"/>
              <w:rPr>
                <w:sz w:val="20"/>
                <w:szCs w:val="20"/>
                <w:color w:val="auto"/>
              </w:rPr>
            </w:pPr>
            <w:r>
              <w:rPr>
                <w:rFonts w:ascii="Courier New" w:cs="Courier New" w:eastAsia="Courier New" w:hAnsi="Courier New"/>
                <w:sz w:val="15"/>
                <w:szCs w:val="15"/>
                <w:color w:val="auto"/>
              </w:rPr>
              <w:t>Income (loss) from operations</w:t>
            </w:r>
          </w:p>
        </w:tc>
        <w:tc>
          <w:tcPr>
            <w:tcW w:w="300" w:type="dxa"/>
            <w:vAlign w:val="bottom"/>
          </w:tcPr>
          <w:p>
            <w:pPr>
              <w:ind w:left="140"/>
              <w:spacing w:after="0"/>
              <w:rPr>
                <w:sz w:val="20"/>
                <w:szCs w:val="20"/>
                <w:color w:val="auto"/>
              </w:rPr>
            </w:pPr>
            <w:r>
              <w:rPr>
                <w:rFonts w:ascii="Courier New" w:cs="Courier New" w:eastAsia="Courier New" w:hAnsi="Courier New"/>
                <w:sz w:val="3"/>
                <w:szCs w:val="3"/>
                <w:color w:val="auto"/>
                <w:w w:val="70"/>
              </w:rPr>
              <w:t>-----------</w:t>
            </w:r>
          </w:p>
        </w:tc>
        <w:tc>
          <w:tcPr>
            <w:tcW w:w="10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(148,131)</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9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58,789</w:t>
            </w:r>
          </w:p>
        </w:tc>
        <w:tc>
          <w:tcPr>
            <w:tcW w:w="34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29,604</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372,316</w:t>
            </w:r>
          </w:p>
        </w:tc>
        <w:tc>
          <w:tcPr>
            <w:tcW w:w="0" w:type="dxa"/>
            <w:vAlign w:val="bottom"/>
          </w:tcPr>
          <w:p>
            <w:pPr>
              <w:spacing w:after="0"/>
              <w:rPr>
                <w:sz w:val="1"/>
                <w:szCs w:val="1"/>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 (income)</w:t>
            </w:r>
          </w:p>
        </w:tc>
        <w:tc>
          <w:tcPr>
            <w:tcW w:w="3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23,478</w:t>
            </w:r>
          </w:p>
        </w:tc>
        <w:tc>
          <w:tcPr>
            <w:tcW w:w="22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28,550</w:t>
            </w:r>
          </w:p>
        </w:tc>
        <w:tc>
          <w:tcPr>
            <w:tcW w:w="34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17,970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12,739</w:t>
            </w:r>
          </w:p>
        </w:tc>
        <w:tc>
          <w:tcPr>
            <w:tcW w:w="0" w:type="dxa"/>
            <w:vAlign w:val="bottom"/>
          </w:tcPr>
          <w:p>
            <w:pPr>
              <w:spacing w:after="0"/>
              <w:rPr>
                <w:sz w:val="1"/>
                <w:szCs w:val="1"/>
                <w:color w:val="auto"/>
              </w:rPr>
            </w:pPr>
          </w:p>
        </w:tc>
      </w:tr>
      <w:tr>
        <w:trPr>
          <w:trHeight w:val="168"/>
        </w:trPr>
        <w:tc>
          <w:tcPr>
            <w:tcW w:w="3900" w:type="dxa"/>
            <w:vAlign w:val="bottom"/>
            <w:vMerge w:val="restart"/>
          </w:tcPr>
          <w:p>
            <w:pPr>
              <w:ind w:left="1240"/>
              <w:spacing w:after="0"/>
              <w:rPr>
                <w:sz w:val="20"/>
                <w:szCs w:val="20"/>
                <w:color w:val="auto"/>
              </w:rPr>
            </w:pPr>
            <w:r>
              <w:rPr>
                <w:rFonts w:ascii="Courier New" w:cs="Courier New" w:eastAsia="Courier New" w:hAnsi="Courier New"/>
                <w:sz w:val="15"/>
                <w:szCs w:val="15"/>
                <w:color w:val="auto"/>
              </w:rPr>
              <w:t>Net income (loss)</w:t>
            </w:r>
          </w:p>
        </w:tc>
        <w:tc>
          <w:tcPr>
            <w:tcW w:w="300" w:type="dxa"/>
            <w:vAlign w:val="bottom"/>
            <w:vMerge w:val="restart"/>
          </w:tcPr>
          <w:p>
            <w:pPr>
              <w:ind w:left="140"/>
              <w:spacing w:after="0"/>
              <w:rPr>
                <w:sz w:val="20"/>
                <w:szCs w:val="20"/>
                <w:color w:val="auto"/>
              </w:rPr>
            </w:pPr>
            <w:r>
              <w:rPr>
                <w:rFonts w:ascii="Courier New" w:cs="Courier New" w:eastAsia="Courier New" w:hAnsi="Courier New"/>
                <w:sz w:val="4"/>
                <w:szCs w:val="4"/>
                <w:color w:val="auto"/>
                <w:w w:val="94"/>
                <w:vertAlign w:val="subscript"/>
              </w:rPr>
              <w:t>$</w:t>
            </w:r>
            <w:r>
              <w:rPr>
                <w:rFonts w:ascii="Courier New" w:cs="Courier New" w:eastAsia="Courier New" w:hAnsi="Courier New"/>
                <w:sz w:val="2"/>
                <w:szCs w:val="2"/>
                <w:color w:val="auto"/>
                <w:w w:val="94"/>
              </w:rPr>
              <w:t>-----------</w:t>
            </w:r>
          </w:p>
        </w:tc>
        <w:tc>
          <w:tcPr>
            <w:tcW w:w="10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(171,609)</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9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30,239</w:t>
            </w:r>
          </w:p>
        </w:tc>
        <w:tc>
          <w:tcPr>
            <w:tcW w:w="3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11,634</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359,577</w:t>
            </w:r>
          </w:p>
        </w:tc>
        <w:tc>
          <w:tcPr>
            <w:tcW w:w="0" w:type="dxa"/>
            <w:vAlign w:val="bottom"/>
          </w:tcPr>
          <w:p>
            <w:pPr>
              <w:spacing w:after="0"/>
              <w:rPr>
                <w:sz w:val="1"/>
                <w:szCs w:val="1"/>
                <w:color w:val="auto"/>
              </w:rPr>
            </w:pPr>
          </w:p>
        </w:tc>
      </w:tr>
      <w:tr>
        <w:trPr>
          <w:trHeight w:val="245"/>
        </w:trPr>
        <w:tc>
          <w:tcPr>
            <w:tcW w:w="3900" w:type="dxa"/>
            <w:vAlign w:val="bottom"/>
          </w:tcPr>
          <w:p>
            <w:pPr>
              <w:spacing w:after="0"/>
              <w:rPr>
                <w:sz w:val="21"/>
                <w:szCs w:val="21"/>
                <w:color w:val="auto"/>
              </w:rPr>
            </w:pP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05"/>
        </w:trPr>
        <w:tc>
          <w:tcPr>
            <w:tcW w:w="5260" w:type="dxa"/>
            <w:vAlign w:val="bottom"/>
            <w:gridSpan w:val="3"/>
          </w:tcPr>
          <w:p>
            <w:pPr>
              <w:spacing w:after="0"/>
              <w:rPr>
                <w:sz w:val="20"/>
                <w:szCs w:val="20"/>
                <w:color w:val="auto"/>
              </w:rPr>
            </w:pPr>
            <w:r>
              <w:rPr>
                <w:rFonts w:ascii="Courier New" w:cs="Courier New" w:eastAsia="Courier New" w:hAnsi="Courier New"/>
                <w:sz w:val="15"/>
                <w:szCs w:val="15"/>
                <w:color w:val="auto"/>
                <w:w w:val="97"/>
              </w:rPr>
              <w:t>The accompanying notes are an integral part of the financial</w:t>
            </w:r>
          </w:p>
        </w:tc>
        <w:tc>
          <w:tcPr>
            <w:tcW w:w="11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statements.</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3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766"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INVENTORY MANAGEMENT SYSTEMS,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Statements of Stockholders' Equity (Deficit)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years ended October 31, 1995 and 1996 and the</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six months ended April 30, 1997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60" w:type="dxa"/>
            <w:vAlign w:val="bottom"/>
          </w:tcPr>
          <w:p>
            <w:pPr>
              <w:spacing w:after="0"/>
              <w:rPr>
                <w:sz w:val="14"/>
                <w:szCs w:val="14"/>
                <w:color w:val="auto"/>
              </w:rPr>
            </w:pPr>
          </w:p>
        </w:tc>
        <w:tc>
          <w:tcPr>
            <w:tcW w:w="232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No Par Value</w:t>
            </w: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60" w:type="dxa"/>
            <w:vAlign w:val="bottom"/>
          </w:tcPr>
          <w:p>
            <w:pPr>
              <w:spacing w:after="0"/>
              <w:rPr>
                <w:sz w:val="14"/>
                <w:szCs w:val="14"/>
                <w:color w:val="auto"/>
              </w:rPr>
            </w:pPr>
          </w:p>
        </w:tc>
        <w:tc>
          <w:tcPr>
            <w:tcW w:w="140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Common</w:t>
            </w:r>
          </w:p>
        </w:tc>
        <w:tc>
          <w:tcPr>
            <w:tcW w:w="9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Stock</w:t>
            </w:r>
          </w:p>
        </w:tc>
        <w:tc>
          <w:tcPr>
            <w:tcW w:w="12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Accumulated</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60" w:type="dxa"/>
            <w:vAlign w:val="bottom"/>
          </w:tcPr>
          <w:p>
            <w:pPr>
              <w:spacing w:after="0"/>
              <w:rPr>
                <w:sz w:val="14"/>
                <w:szCs w:val="14"/>
                <w:color w:val="auto"/>
              </w:rPr>
            </w:pPr>
          </w:p>
        </w:tc>
        <w:tc>
          <w:tcPr>
            <w:tcW w:w="1520" w:type="dxa"/>
            <w:vAlign w:val="bottom"/>
            <w:gridSpan w:val="2"/>
            <w:vMerge w:val="restart"/>
          </w:tcPr>
          <w:p>
            <w:pPr>
              <w:ind w:left="260"/>
              <w:spacing w:after="0"/>
              <w:rPr>
                <w:sz w:val="20"/>
                <w:szCs w:val="20"/>
                <w:color w:val="auto"/>
              </w:rPr>
            </w:pPr>
            <w:r>
              <w:rPr>
                <w:rFonts w:ascii="Courier New" w:cs="Courier New" w:eastAsia="Courier New" w:hAnsi="Courier New"/>
                <w:sz w:val="10"/>
                <w:szCs w:val="10"/>
                <w:color w:val="auto"/>
                <w:w w:val="71"/>
              </w:rPr>
              <w:t>----------------------</w:t>
            </w:r>
            <w:r>
              <w:rPr>
                <w:rFonts w:ascii="Courier New" w:cs="Courier New" w:eastAsia="Courier New" w:hAnsi="Courier New"/>
                <w:sz w:val="17"/>
                <w:szCs w:val="17"/>
                <w:color w:val="auto"/>
                <w:w w:val="71"/>
                <w:vertAlign w:val="subscript"/>
              </w:rPr>
              <w:t>Shares</w:t>
            </w:r>
          </w:p>
        </w:tc>
        <w:tc>
          <w:tcPr>
            <w:tcW w:w="8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Amount</w:t>
            </w:r>
          </w:p>
        </w:tc>
        <w:tc>
          <w:tcPr>
            <w:tcW w:w="1220" w:type="dxa"/>
            <w:vAlign w:val="bottom"/>
            <w:vMerge w:val="continue"/>
          </w:tcPr>
          <w:p>
            <w:pPr>
              <w:spacing w:after="0"/>
              <w:rPr>
                <w:sz w:val="14"/>
                <w:szCs w:val="14"/>
                <w:color w:val="auto"/>
              </w:rPr>
            </w:pPr>
          </w:p>
        </w:tc>
        <w:tc>
          <w:tcPr>
            <w:tcW w:w="10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168"/>
        </w:trPr>
        <w:tc>
          <w:tcPr>
            <w:tcW w:w="45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Deficit</w:t>
            </w: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560" w:type="dxa"/>
            <w:vAlign w:val="bottom"/>
          </w:tcPr>
          <w:p>
            <w:pPr>
              <w:spacing w:after="0"/>
              <w:rPr>
                <w:sz w:val="21"/>
                <w:szCs w:val="21"/>
                <w:color w:val="auto"/>
              </w:rPr>
            </w:pPr>
          </w:p>
        </w:tc>
        <w:tc>
          <w:tcPr>
            <w:tcW w:w="140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3"/>
              </w:rPr>
              <w:t>---------</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05"/>
        </w:trPr>
        <w:tc>
          <w:tcPr>
            <w:tcW w:w="4560" w:type="dxa"/>
            <w:vAlign w:val="bottom"/>
          </w:tcPr>
          <w:p>
            <w:pPr>
              <w:spacing w:after="0"/>
              <w:rPr>
                <w:sz w:val="20"/>
                <w:szCs w:val="20"/>
                <w:color w:val="auto"/>
              </w:rPr>
            </w:pPr>
            <w:r>
              <w:rPr>
                <w:rFonts w:ascii="Courier New" w:cs="Courier New" w:eastAsia="Courier New" w:hAnsi="Courier New"/>
                <w:sz w:val="15"/>
                <w:szCs w:val="15"/>
                <w:color w:val="auto"/>
              </w:rPr>
              <w:t>Balance, October 31, 1994</w:t>
            </w:r>
          </w:p>
        </w:tc>
        <w:tc>
          <w:tcPr>
            <w:tcW w:w="140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40</w:t>
            </w:r>
          </w:p>
        </w:tc>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1,000</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$ 339,986</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$ 340,986</w:t>
            </w:r>
          </w:p>
        </w:tc>
        <w:tc>
          <w:tcPr>
            <w:tcW w:w="0" w:type="dxa"/>
            <w:vAlign w:val="bottom"/>
          </w:tcPr>
          <w:p>
            <w:pPr>
              <w:spacing w:after="0"/>
              <w:rPr>
                <w:sz w:val="1"/>
                <w:szCs w:val="1"/>
                <w:color w:val="auto"/>
              </w:rPr>
            </w:pP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Stockholders' distribution</w:t>
            </w: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(53,019)</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(53,019)</w:t>
            </w:r>
          </w:p>
        </w:tc>
        <w:tc>
          <w:tcPr>
            <w:tcW w:w="0" w:type="dxa"/>
            <w:vAlign w:val="bottom"/>
          </w:tcPr>
          <w:p>
            <w:pPr>
              <w:spacing w:after="0"/>
              <w:rPr>
                <w:sz w:val="1"/>
                <w:szCs w:val="1"/>
                <w:color w:val="auto"/>
              </w:rPr>
            </w:pPr>
          </w:p>
        </w:tc>
      </w:tr>
      <w:tr>
        <w:trPr>
          <w:trHeight w:val="259"/>
        </w:trPr>
        <w:tc>
          <w:tcPr>
            <w:tcW w:w="456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400" w:type="dxa"/>
            <w:vAlign w:val="bottom"/>
          </w:tcPr>
          <w:p>
            <w:pPr>
              <w:spacing w:after="0"/>
              <w:rPr>
                <w:sz w:val="22"/>
                <w:szCs w:val="22"/>
                <w:color w:val="auto"/>
              </w:rPr>
            </w:pPr>
          </w:p>
        </w:tc>
        <w:tc>
          <w:tcPr>
            <w:tcW w:w="920" w:type="dxa"/>
            <w:vAlign w:val="bottom"/>
            <w:gridSpan w:val="2"/>
            <w:vMerge w:val="restart"/>
          </w:tcPr>
          <w:p>
            <w:pPr>
              <w:jc w:val="right"/>
              <w:ind w:right="67"/>
              <w:spacing w:after="0"/>
              <w:rPr>
                <w:sz w:val="20"/>
                <w:szCs w:val="20"/>
                <w:color w:val="auto"/>
              </w:rPr>
            </w:pPr>
            <w:r>
              <w:rPr>
                <w:rFonts w:ascii="Courier New" w:cs="Courier New" w:eastAsia="Courier New" w:hAnsi="Courier New"/>
                <w:sz w:val="15"/>
                <w:szCs w:val="15"/>
                <w:color w:val="auto"/>
                <w:w w:val="93"/>
              </w:rPr>
              <w:t>---------</w:t>
            </w:r>
          </w:p>
        </w:tc>
        <w:tc>
          <w:tcPr>
            <w:tcW w:w="12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(171,609)</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(171,609)</w:t>
            </w:r>
          </w:p>
        </w:tc>
        <w:tc>
          <w:tcPr>
            <w:tcW w:w="0" w:type="dxa"/>
            <w:vAlign w:val="bottom"/>
          </w:tcPr>
          <w:p>
            <w:pPr>
              <w:spacing w:after="0"/>
              <w:rPr>
                <w:sz w:val="1"/>
                <w:szCs w:val="1"/>
                <w:color w:val="auto"/>
              </w:rPr>
            </w:pPr>
          </w:p>
        </w:tc>
      </w:tr>
      <w:tr>
        <w:trPr>
          <w:trHeight w:val="245"/>
        </w:trPr>
        <w:tc>
          <w:tcPr>
            <w:tcW w:w="4560" w:type="dxa"/>
            <w:vAlign w:val="bottom"/>
          </w:tcPr>
          <w:p>
            <w:pPr>
              <w:spacing w:after="0"/>
              <w:rPr>
                <w:sz w:val="21"/>
                <w:szCs w:val="21"/>
                <w:color w:val="auto"/>
              </w:rPr>
            </w:pPr>
          </w:p>
        </w:tc>
        <w:tc>
          <w:tcPr>
            <w:tcW w:w="140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vMerge w:val="continue"/>
          </w:tcPr>
          <w:p>
            <w:pPr>
              <w:spacing w:after="0"/>
              <w:rPr>
                <w:sz w:val="21"/>
                <w:szCs w:val="21"/>
                <w:color w:val="auto"/>
              </w:rPr>
            </w:pP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560" w:type="dxa"/>
            <w:vAlign w:val="bottom"/>
          </w:tcPr>
          <w:p>
            <w:pPr>
              <w:ind w:left="1240"/>
              <w:spacing w:after="0"/>
              <w:rPr>
                <w:sz w:val="20"/>
                <w:szCs w:val="20"/>
                <w:color w:val="auto"/>
              </w:rPr>
            </w:pPr>
            <w:r>
              <w:rPr>
                <w:rFonts w:ascii="Courier New" w:cs="Courier New" w:eastAsia="Courier New" w:hAnsi="Courier New"/>
                <w:sz w:val="15"/>
                <w:szCs w:val="15"/>
                <w:color w:val="auto"/>
              </w:rPr>
              <w:t>Balance, October 31, 1995</w:t>
            </w:r>
          </w:p>
        </w:tc>
        <w:tc>
          <w:tcPr>
            <w:tcW w:w="140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40</w:t>
            </w:r>
          </w:p>
        </w:tc>
        <w:tc>
          <w:tcPr>
            <w:tcW w:w="120" w:type="dxa"/>
            <w:vAlign w:val="bottom"/>
          </w:tcPr>
          <w:p>
            <w:pPr>
              <w:spacing w:after="0"/>
              <w:rPr>
                <w:sz w:val="22"/>
                <w:szCs w:val="22"/>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1,000</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115,358</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116,358</w:t>
            </w:r>
          </w:p>
        </w:tc>
        <w:tc>
          <w:tcPr>
            <w:tcW w:w="0" w:type="dxa"/>
            <w:vAlign w:val="bottom"/>
          </w:tcPr>
          <w:p>
            <w:pPr>
              <w:spacing w:after="0"/>
              <w:rPr>
                <w:sz w:val="1"/>
                <w:szCs w:val="1"/>
                <w:color w:val="auto"/>
              </w:rPr>
            </w:pPr>
          </w:p>
        </w:tc>
      </w:tr>
      <w:tr>
        <w:trPr>
          <w:trHeight w:val="245"/>
        </w:trPr>
        <w:tc>
          <w:tcPr>
            <w:tcW w:w="4560" w:type="dxa"/>
            <w:vAlign w:val="bottom"/>
          </w:tcPr>
          <w:p>
            <w:pPr>
              <w:spacing w:after="0"/>
              <w:rPr>
                <w:sz w:val="21"/>
                <w:szCs w:val="21"/>
                <w:color w:val="auto"/>
              </w:rPr>
            </w:pPr>
          </w:p>
        </w:tc>
        <w:tc>
          <w:tcPr>
            <w:tcW w:w="140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3"/>
              </w:rPr>
              <w:t>---------</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Stockholders' distribution</w:t>
            </w: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(183,034)</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(183,034)</w:t>
            </w:r>
          </w:p>
        </w:tc>
        <w:tc>
          <w:tcPr>
            <w:tcW w:w="0" w:type="dxa"/>
            <w:vAlign w:val="bottom"/>
          </w:tcPr>
          <w:p>
            <w:pPr>
              <w:spacing w:after="0"/>
              <w:rPr>
                <w:sz w:val="1"/>
                <w:szCs w:val="1"/>
                <w:color w:val="auto"/>
              </w:rPr>
            </w:pPr>
          </w:p>
        </w:tc>
      </w:tr>
      <w:tr>
        <w:trPr>
          <w:trHeight w:val="259"/>
        </w:trPr>
        <w:tc>
          <w:tcPr>
            <w:tcW w:w="45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400" w:type="dxa"/>
            <w:vAlign w:val="bottom"/>
          </w:tcPr>
          <w:p>
            <w:pPr>
              <w:spacing w:after="0"/>
              <w:rPr>
                <w:sz w:val="22"/>
                <w:szCs w:val="22"/>
                <w:color w:val="auto"/>
              </w:rPr>
            </w:pPr>
          </w:p>
        </w:tc>
        <w:tc>
          <w:tcPr>
            <w:tcW w:w="920" w:type="dxa"/>
            <w:vAlign w:val="bottom"/>
            <w:gridSpan w:val="2"/>
            <w:vMerge w:val="restart"/>
          </w:tcPr>
          <w:p>
            <w:pPr>
              <w:jc w:val="right"/>
              <w:ind w:right="67"/>
              <w:spacing w:after="0"/>
              <w:rPr>
                <w:sz w:val="20"/>
                <w:szCs w:val="20"/>
                <w:color w:val="auto"/>
              </w:rPr>
            </w:pPr>
            <w:r>
              <w:rPr>
                <w:rFonts w:ascii="Courier New" w:cs="Courier New" w:eastAsia="Courier New" w:hAnsi="Courier New"/>
                <w:sz w:val="15"/>
                <w:szCs w:val="15"/>
                <w:color w:val="auto"/>
                <w:w w:val="93"/>
              </w:rPr>
              <w:t>---------</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30,239</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30,239</w:t>
            </w:r>
          </w:p>
        </w:tc>
        <w:tc>
          <w:tcPr>
            <w:tcW w:w="0" w:type="dxa"/>
            <w:vAlign w:val="bottom"/>
          </w:tcPr>
          <w:p>
            <w:pPr>
              <w:spacing w:after="0"/>
              <w:rPr>
                <w:sz w:val="1"/>
                <w:szCs w:val="1"/>
                <w:color w:val="auto"/>
              </w:rPr>
            </w:pPr>
          </w:p>
        </w:tc>
      </w:tr>
      <w:tr>
        <w:trPr>
          <w:trHeight w:val="245"/>
        </w:trPr>
        <w:tc>
          <w:tcPr>
            <w:tcW w:w="4560" w:type="dxa"/>
            <w:vAlign w:val="bottom"/>
          </w:tcPr>
          <w:p>
            <w:pPr>
              <w:spacing w:after="0"/>
              <w:rPr>
                <w:sz w:val="21"/>
                <w:szCs w:val="21"/>
                <w:color w:val="auto"/>
              </w:rPr>
            </w:pPr>
          </w:p>
        </w:tc>
        <w:tc>
          <w:tcPr>
            <w:tcW w:w="140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vMerge w:val="continue"/>
          </w:tcPr>
          <w:p>
            <w:pPr>
              <w:spacing w:after="0"/>
              <w:rPr>
                <w:sz w:val="21"/>
                <w:szCs w:val="21"/>
                <w:color w:val="auto"/>
              </w:rPr>
            </w:pP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4560" w:type="dxa"/>
            <w:vAlign w:val="bottom"/>
          </w:tcPr>
          <w:p>
            <w:pPr>
              <w:ind w:left="1240"/>
              <w:spacing w:after="0"/>
              <w:rPr>
                <w:sz w:val="20"/>
                <w:szCs w:val="20"/>
                <w:color w:val="auto"/>
              </w:rPr>
            </w:pPr>
            <w:r>
              <w:rPr>
                <w:rFonts w:ascii="Courier New" w:cs="Courier New" w:eastAsia="Courier New" w:hAnsi="Courier New"/>
                <w:sz w:val="15"/>
                <w:szCs w:val="15"/>
                <w:color w:val="auto"/>
              </w:rPr>
              <w:t>Balance, October 31, 1996</w:t>
            </w:r>
          </w:p>
        </w:tc>
        <w:tc>
          <w:tcPr>
            <w:tcW w:w="140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40</w:t>
            </w:r>
          </w:p>
        </w:tc>
        <w:tc>
          <w:tcPr>
            <w:tcW w:w="120" w:type="dxa"/>
            <w:vAlign w:val="bottom"/>
          </w:tcPr>
          <w:p>
            <w:pPr>
              <w:spacing w:after="0"/>
              <w:rPr>
                <w:sz w:val="24"/>
                <w:szCs w:val="2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1,000</w:t>
            </w:r>
          </w:p>
        </w:tc>
        <w:tc>
          <w:tcPr>
            <w:tcW w:w="12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(37,437)</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(36,437)</w:t>
            </w:r>
          </w:p>
        </w:tc>
        <w:tc>
          <w:tcPr>
            <w:tcW w:w="0" w:type="dxa"/>
            <w:vAlign w:val="bottom"/>
          </w:tcPr>
          <w:p>
            <w:pPr>
              <w:spacing w:after="0"/>
              <w:rPr>
                <w:sz w:val="1"/>
                <w:szCs w:val="1"/>
                <w:color w:val="auto"/>
              </w:rPr>
            </w:pP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Stockholders' distribution</w:t>
            </w: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(185,618)</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(185,618)</w:t>
            </w:r>
          </w:p>
        </w:tc>
        <w:tc>
          <w:tcPr>
            <w:tcW w:w="0" w:type="dxa"/>
            <w:vAlign w:val="bottom"/>
          </w:tcPr>
          <w:p>
            <w:pPr>
              <w:spacing w:after="0"/>
              <w:rPr>
                <w:sz w:val="1"/>
                <w:szCs w:val="1"/>
                <w:color w:val="auto"/>
              </w:rPr>
            </w:pPr>
          </w:p>
        </w:tc>
      </w:tr>
      <w:tr>
        <w:trPr>
          <w:trHeight w:val="259"/>
        </w:trPr>
        <w:tc>
          <w:tcPr>
            <w:tcW w:w="4560" w:type="dxa"/>
            <w:vAlign w:val="bottom"/>
          </w:tcPr>
          <w:p>
            <w:pPr>
              <w:spacing w:after="0"/>
              <w:rPr>
                <w:sz w:val="20"/>
                <w:szCs w:val="20"/>
                <w:color w:val="auto"/>
              </w:rPr>
            </w:pPr>
            <w:r>
              <w:rPr>
                <w:rFonts w:ascii="Courier New" w:cs="Courier New" w:eastAsia="Courier New" w:hAnsi="Courier New"/>
                <w:sz w:val="15"/>
                <w:szCs w:val="15"/>
                <w:color w:val="auto"/>
              </w:rPr>
              <w:t>Net income (unaudited)</w:t>
            </w:r>
          </w:p>
        </w:tc>
        <w:tc>
          <w:tcPr>
            <w:tcW w:w="1400" w:type="dxa"/>
            <w:vAlign w:val="bottom"/>
          </w:tcPr>
          <w:p>
            <w:pPr>
              <w:spacing w:after="0"/>
              <w:rPr>
                <w:sz w:val="22"/>
                <w:szCs w:val="22"/>
                <w:color w:val="auto"/>
              </w:rPr>
            </w:pPr>
          </w:p>
        </w:tc>
        <w:tc>
          <w:tcPr>
            <w:tcW w:w="920" w:type="dxa"/>
            <w:vAlign w:val="bottom"/>
            <w:gridSpan w:val="2"/>
            <w:vMerge w:val="restart"/>
          </w:tcPr>
          <w:p>
            <w:pPr>
              <w:jc w:val="right"/>
              <w:ind w:right="67"/>
              <w:spacing w:after="0"/>
              <w:rPr>
                <w:sz w:val="20"/>
                <w:szCs w:val="20"/>
                <w:color w:val="auto"/>
              </w:rPr>
            </w:pPr>
            <w:r>
              <w:rPr>
                <w:rFonts w:ascii="Courier New" w:cs="Courier New" w:eastAsia="Courier New" w:hAnsi="Courier New"/>
                <w:sz w:val="15"/>
                <w:szCs w:val="15"/>
                <w:color w:val="auto"/>
                <w:w w:val="93"/>
              </w:rPr>
              <w:t>---------</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359,577</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359,577</w:t>
            </w:r>
          </w:p>
        </w:tc>
        <w:tc>
          <w:tcPr>
            <w:tcW w:w="0" w:type="dxa"/>
            <w:vAlign w:val="bottom"/>
          </w:tcPr>
          <w:p>
            <w:pPr>
              <w:spacing w:after="0"/>
              <w:rPr>
                <w:sz w:val="1"/>
                <w:szCs w:val="1"/>
                <w:color w:val="auto"/>
              </w:rPr>
            </w:pPr>
          </w:p>
        </w:tc>
      </w:tr>
      <w:tr>
        <w:trPr>
          <w:trHeight w:val="168"/>
        </w:trPr>
        <w:tc>
          <w:tcPr>
            <w:tcW w:w="4560" w:type="dxa"/>
            <w:vAlign w:val="bottom"/>
            <w:vMerge w:val="restart"/>
          </w:tcPr>
          <w:p>
            <w:pPr>
              <w:ind w:left="1240"/>
              <w:spacing w:after="0"/>
              <w:rPr>
                <w:sz w:val="20"/>
                <w:szCs w:val="20"/>
                <w:color w:val="auto"/>
              </w:rPr>
            </w:pPr>
            <w:r>
              <w:rPr>
                <w:rFonts w:ascii="Courier New" w:cs="Courier New" w:eastAsia="Courier New" w:hAnsi="Courier New"/>
                <w:sz w:val="15"/>
                <w:szCs w:val="15"/>
                <w:color w:val="auto"/>
              </w:rPr>
              <w:t>Balance, April 30, 1997 (unaudited)</w:t>
            </w:r>
          </w:p>
        </w:tc>
        <w:tc>
          <w:tcPr>
            <w:tcW w:w="1400" w:type="dxa"/>
            <w:vAlign w:val="bottom"/>
            <w:vMerge w:val="restart"/>
          </w:tcPr>
          <w:p>
            <w:pPr>
              <w:jc w:val="right"/>
              <w:ind w:right="289"/>
              <w:spacing w:after="0"/>
              <w:rPr>
                <w:sz w:val="20"/>
                <w:szCs w:val="20"/>
                <w:color w:val="auto"/>
              </w:rPr>
            </w:pPr>
            <w:r>
              <w:rPr>
                <w:rFonts w:ascii="Courier New" w:cs="Courier New" w:eastAsia="Courier New" w:hAnsi="Courier New"/>
                <w:sz w:val="15"/>
                <w:szCs w:val="15"/>
                <w:color w:val="auto"/>
                <w:w w:val="97"/>
              </w:rPr>
              <w:t>---------</w:t>
            </w:r>
            <w:r>
              <w:rPr>
                <w:rFonts w:ascii="Courier New" w:cs="Courier New" w:eastAsia="Courier New" w:hAnsi="Courier New"/>
                <w:sz w:val="29"/>
                <w:szCs w:val="29"/>
                <w:color w:val="auto"/>
                <w:w w:val="97"/>
                <w:vertAlign w:val="subscript"/>
              </w:rPr>
              <w:t>40</w:t>
            </w:r>
          </w:p>
        </w:tc>
        <w:tc>
          <w:tcPr>
            <w:tcW w:w="920" w:type="dxa"/>
            <w:vAlign w:val="bottom"/>
            <w:gridSpan w:val="2"/>
            <w:vMerge w:val="continue"/>
          </w:tcPr>
          <w:p>
            <w:pPr>
              <w:spacing w:after="0"/>
              <w:rPr>
                <w:sz w:val="14"/>
                <w:szCs w:val="14"/>
                <w:color w:val="auto"/>
              </w:rPr>
            </w:pP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56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1,000</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$ 136,522</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$ 137,522</w:t>
            </w:r>
          </w:p>
        </w:tc>
        <w:tc>
          <w:tcPr>
            <w:tcW w:w="0" w:type="dxa"/>
            <w:vAlign w:val="bottom"/>
          </w:tcPr>
          <w:p>
            <w:pPr>
              <w:spacing w:after="0"/>
              <w:rPr>
                <w:sz w:val="1"/>
                <w:szCs w:val="1"/>
                <w:color w:val="auto"/>
              </w:rPr>
            </w:pPr>
          </w:p>
        </w:tc>
      </w:tr>
      <w:tr>
        <w:trPr>
          <w:trHeight w:val="245"/>
        </w:trPr>
        <w:tc>
          <w:tcPr>
            <w:tcW w:w="4560" w:type="dxa"/>
            <w:vAlign w:val="bottom"/>
          </w:tcPr>
          <w:p>
            <w:pPr>
              <w:spacing w:after="0"/>
              <w:rPr>
                <w:sz w:val="21"/>
                <w:szCs w:val="21"/>
                <w:color w:val="auto"/>
              </w:rPr>
            </w:pPr>
          </w:p>
        </w:tc>
        <w:tc>
          <w:tcPr>
            <w:tcW w:w="140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3"/>
              </w:rPr>
              <w:t>=========</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166" w:lineRule="exact"/>
        <w:rPr>
          <w:sz w:val="20"/>
          <w:szCs w:val="20"/>
          <w:color w:val="auto"/>
        </w:rPr>
      </w:pPr>
    </w:p>
    <w:p>
      <w:pPr>
        <w:ind w:left="69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766"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INVENTORY MANAGEMENT SYSTEMS,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 of Cash Flows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years ended October 31, 1995 and 1996 and the</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six months ended April 30, 1996 and 1997 (unaudited)</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October 31,</w:t>
            </w: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ind w:left="580"/>
              <w:spacing w:after="0"/>
              <w:rPr>
                <w:sz w:val="20"/>
                <w:szCs w:val="20"/>
                <w:color w:val="auto"/>
              </w:rPr>
            </w:pPr>
            <w:r>
              <w:rPr>
                <w:rFonts w:ascii="Courier New" w:cs="Courier New" w:eastAsia="Courier New" w:hAnsi="Courier New"/>
                <w:sz w:val="15"/>
                <w:szCs w:val="15"/>
                <w:color w:val="auto"/>
                <w:w w:val="93"/>
              </w:rPr>
              <w:t>April 30,</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480" w:type="dxa"/>
            <w:vAlign w:val="bottom"/>
          </w:tcPr>
          <w:p>
            <w:pPr>
              <w:spacing w:after="0"/>
              <w:rPr>
                <w:sz w:val="14"/>
                <w:szCs w:val="14"/>
                <w:color w:val="auto"/>
              </w:rPr>
            </w:pPr>
          </w:p>
        </w:tc>
        <w:tc>
          <w:tcPr>
            <w:tcW w:w="3320" w:type="dxa"/>
            <w:vAlign w:val="bottom"/>
            <w:gridSpan w:val="4"/>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74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1995</w:t>
            </w:r>
          </w:p>
        </w:tc>
        <w:tc>
          <w:tcPr>
            <w:tcW w:w="480" w:type="dxa"/>
            <w:vAlign w:val="bottom"/>
          </w:tcPr>
          <w:p>
            <w:pPr>
              <w:spacing w:after="0"/>
              <w:rPr>
                <w:sz w:val="14"/>
                <w:szCs w:val="14"/>
                <w:color w:val="auto"/>
              </w:rPr>
            </w:pPr>
          </w:p>
        </w:tc>
        <w:tc>
          <w:tcPr>
            <w:tcW w:w="10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88"/>
              </w:rPr>
              <w:t>1996</w:t>
            </w:r>
          </w:p>
        </w:tc>
        <w:tc>
          <w:tcPr>
            <w:tcW w:w="340" w:type="dxa"/>
            <w:vAlign w:val="bottom"/>
          </w:tcPr>
          <w:p>
            <w:pPr>
              <w:spacing w:after="0"/>
              <w:rPr>
                <w:sz w:val="14"/>
                <w:szCs w:val="14"/>
                <w:color w:val="auto"/>
              </w:rPr>
            </w:pPr>
          </w:p>
        </w:tc>
        <w:tc>
          <w:tcPr>
            <w:tcW w:w="13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1996</w:t>
            </w:r>
          </w:p>
        </w:tc>
        <w:tc>
          <w:tcPr>
            <w:tcW w:w="260" w:type="dxa"/>
            <w:vAlign w:val="bottom"/>
          </w:tcPr>
          <w:p>
            <w:pPr>
              <w:spacing w:after="0"/>
              <w:rPr>
                <w:sz w:val="14"/>
                <w:szCs w:val="14"/>
                <w:color w:val="auto"/>
              </w:rPr>
            </w:pPr>
          </w:p>
        </w:tc>
        <w:tc>
          <w:tcPr>
            <w:tcW w:w="7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w w:val="94"/>
              </w:rPr>
              <w:t>1997</w:t>
            </w:r>
          </w:p>
        </w:tc>
        <w:tc>
          <w:tcPr>
            <w:tcW w:w="0" w:type="dxa"/>
            <w:vAlign w:val="bottom"/>
          </w:tcPr>
          <w:p>
            <w:pPr>
              <w:spacing w:after="0"/>
              <w:rPr>
                <w:sz w:val="1"/>
                <w:szCs w:val="1"/>
                <w:color w:val="auto"/>
              </w:rPr>
            </w:pPr>
          </w:p>
        </w:tc>
      </w:tr>
      <w:tr>
        <w:trPr>
          <w:trHeight w:val="168"/>
        </w:trPr>
        <w:tc>
          <w:tcPr>
            <w:tcW w:w="5480" w:type="dxa"/>
            <w:vAlign w:val="bottom"/>
          </w:tcPr>
          <w:p>
            <w:pPr>
              <w:spacing w:after="0"/>
              <w:rPr>
                <w:sz w:val="14"/>
                <w:szCs w:val="14"/>
                <w:color w:val="auto"/>
              </w:rPr>
            </w:pPr>
          </w:p>
        </w:tc>
        <w:tc>
          <w:tcPr>
            <w:tcW w:w="184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245"/>
        </w:trPr>
        <w:tc>
          <w:tcPr>
            <w:tcW w:w="5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(Unaudited)</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548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(171,609)</w:t>
            </w:r>
          </w:p>
        </w:tc>
        <w:tc>
          <w:tcPr>
            <w:tcW w:w="4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30,239</w:t>
            </w:r>
          </w:p>
        </w:tc>
        <w:tc>
          <w:tcPr>
            <w:tcW w:w="3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11,634</w:t>
            </w:r>
          </w:p>
        </w:tc>
        <w:tc>
          <w:tcPr>
            <w:tcW w:w="26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359,577</w:t>
            </w:r>
          </w:p>
        </w:tc>
        <w:tc>
          <w:tcPr>
            <w:tcW w:w="0" w:type="dxa"/>
            <w:vAlign w:val="bottom"/>
          </w:tcPr>
          <w:p>
            <w:pPr>
              <w:spacing w:after="0"/>
              <w:rPr>
                <w:sz w:val="1"/>
                <w:szCs w:val="1"/>
                <w:color w:val="auto"/>
              </w:rPr>
            </w:pPr>
          </w:p>
        </w:tc>
      </w:tr>
      <w:tr>
        <w:trPr>
          <w:trHeight w:val="168"/>
        </w:trPr>
        <w:tc>
          <w:tcPr>
            <w:tcW w:w="5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income (loss)</w:t>
            </w:r>
          </w:p>
        </w:tc>
        <w:tc>
          <w:tcPr>
            <w:tcW w:w="70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Adjustments to reconcile net loss to net cash</w:t>
            </w: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4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provided by (used in) operating activities:</w:t>
            </w:r>
          </w:p>
        </w:tc>
        <w:tc>
          <w:tcPr>
            <w:tcW w:w="700" w:type="dxa"/>
            <w:vAlign w:val="bottom"/>
          </w:tcPr>
          <w:p>
            <w:pPr>
              <w:spacing w:after="0"/>
              <w:rPr>
                <w:sz w:val="14"/>
                <w:szCs w:val="14"/>
                <w:color w:val="auto"/>
              </w:rPr>
            </w:pPr>
          </w:p>
        </w:tc>
        <w:tc>
          <w:tcPr>
            <w:tcW w:w="114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10,041</w:t>
            </w:r>
          </w:p>
        </w:tc>
        <w:tc>
          <w:tcPr>
            <w:tcW w:w="480" w:type="dxa"/>
            <w:vAlign w:val="bottom"/>
          </w:tcPr>
          <w:p>
            <w:pPr>
              <w:spacing w:after="0"/>
              <w:rPr>
                <w:sz w:val="14"/>
                <w:szCs w:val="14"/>
                <w:color w:val="auto"/>
              </w:rPr>
            </w:pPr>
          </w:p>
        </w:tc>
        <w:tc>
          <w:tcPr>
            <w:tcW w:w="100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17,052</w:t>
            </w:r>
          </w:p>
        </w:tc>
        <w:tc>
          <w:tcPr>
            <w:tcW w:w="340" w:type="dxa"/>
            <w:vAlign w:val="bottom"/>
          </w:tcPr>
          <w:p>
            <w:pPr>
              <w:spacing w:after="0"/>
              <w:rPr>
                <w:sz w:val="14"/>
                <w:szCs w:val="14"/>
                <w:color w:val="auto"/>
              </w:rPr>
            </w:pPr>
          </w:p>
        </w:tc>
        <w:tc>
          <w:tcPr>
            <w:tcW w:w="136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8,526</w:t>
            </w:r>
          </w:p>
        </w:tc>
        <w:tc>
          <w:tcPr>
            <w:tcW w:w="260" w:type="dxa"/>
            <w:vAlign w:val="bottom"/>
          </w:tcPr>
          <w:p>
            <w:pPr>
              <w:spacing w:after="0"/>
              <w:rPr>
                <w:sz w:val="14"/>
                <w:szCs w:val="14"/>
                <w:color w:val="auto"/>
              </w:rPr>
            </w:pP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4,773</w:t>
            </w:r>
          </w:p>
        </w:tc>
        <w:tc>
          <w:tcPr>
            <w:tcW w:w="0" w:type="dxa"/>
            <w:vAlign w:val="bottom"/>
          </w:tcPr>
          <w:p>
            <w:pPr>
              <w:spacing w:after="0"/>
              <w:rPr>
                <w:sz w:val="1"/>
                <w:szCs w:val="1"/>
                <w:color w:val="auto"/>
              </w:rPr>
            </w:pPr>
          </w:p>
        </w:tc>
      </w:tr>
      <w:tr>
        <w:trPr>
          <w:trHeight w:val="168"/>
        </w:trPr>
        <w:tc>
          <w:tcPr>
            <w:tcW w:w="54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7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4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Changes in operating assets and liabilities:</w:t>
            </w:r>
          </w:p>
        </w:tc>
        <w:tc>
          <w:tcPr>
            <w:tcW w:w="700" w:type="dxa"/>
            <w:vAlign w:val="bottom"/>
          </w:tcPr>
          <w:p>
            <w:pPr>
              <w:spacing w:after="0"/>
              <w:rPr>
                <w:sz w:val="14"/>
                <w:szCs w:val="14"/>
                <w:color w:val="auto"/>
              </w:rPr>
            </w:pPr>
          </w:p>
        </w:tc>
        <w:tc>
          <w:tcPr>
            <w:tcW w:w="11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(9,308)</w:t>
            </w:r>
          </w:p>
        </w:tc>
        <w:tc>
          <w:tcPr>
            <w:tcW w:w="480" w:type="dxa"/>
            <w:vAlign w:val="bottom"/>
          </w:tcPr>
          <w:p>
            <w:pPr>
              <w:spacing w:after="0"/>
              <w:rPr>
                <w:sz w:val="14"/>
                <w:szCs w:val="14"/>
                <w:color w:val="auto"/>
              </w:rPr>
            </w:pPr>
          </w:p>
        </w:tc>
        <w:tc>
          <w:tcPr>
            <w:tcW w:w="100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266,849</w:t>
            </w:r>
          </w:p>
        </w:tc>
        <w:tc>
          <w:tcPr>
            <w:tcW w:w="340" w:type="dxa"/>
            <w:vAlign w:val="bottom"/>
          </w:tcPr>
          <w:p>
            <w:pPr>
              <w:spacing w:after="0"/>
              <w:rPr>
                <w:sz w:val="14"/>
                <w:szCs w:val="14"/>
                <w:color w:val="auto"/>
              </w:rPr>
            </w:pPr>
          </w:p>
        </w:tc>
        <w:tc>
          <w:tcPr>
            <w:tcW w:w="136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116,894</w:t>
            </w:r>
          </w:p>
        </w:tc>
        <w:tc>
          <w:tcPr>
            <w:tcW w:w="260" w:type="dxa"/>
            <w:vAlign w:val="bottom"/>
          </w:tcPr>
          <w:p>
            <w:pPr>
              <w:spacing w:after="0"/>
              <w:rPr>
                <w:sz w:val="14"/>
                <w:szCs w:val="14"/>
                <w:color w:val="auto"/>
              </w:rPr>
            </w:pP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127,627</w:t>
            </w:r>
          </w:p>
        </w:tc>
        <w:tc>
          <w:tcPr>
            <w:tcW w:w="0" w:type="dxa"/>
            <w:vAlign w:val="bottom"/>
          </w:tcPr>
          <w:p>
            <w:pPr>
              <w:spacing w:after="0"/>
              <w:rPr>
                <w:sz w:val="1"/>
                <w:szCs w:val="1"/>
                <w:color w:val="auto"/>
              </w:rPr>
            </w:pPr>
          </w:p>
        </w:tc>
      </w:tr>
      <w:tr>
        <w:trPr>
          <w:trHeight w:val="168"/>
        </w:trPr>
        <w:tc>
          <w:tcPr>
            <w:tcW w:w="54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(Increase) decrease in accounts receivable</w:t>
            </w:r>
          </w:p>
        </w:tc>
        <w:tc>
          <w:tcPr>
            <w:tcW w:w="7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4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(Increase) decrease in due from related parties</w:t>
            </w:r>
          </w:p>
        </w:tc>
        <w:tc>
          <w:tcPr>
            <w:tcW w:w="70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(25,400)</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102,791</w:t>
            </w:r>
          </w:p>
        </w:tc>
        <w:tc>
          <w:tcPr>
            <w:tcW w:w="0" w:type="dxa"/>
            <w:vAlign w:val="bottom"/>
          </w:tcPr>
          <w:p>
            <w:pPr>
              <w:spacing w:after="0"/>
              <w:rPr>
                <w:sz w:val="1"/>
                <w:szCs w:val="1"/>
                <w:color w:val="auto"/>
              </w:rPr>
            </w:pPr>
          </w:p>
        </w:tc>
      </w:tr>
      <w:tr>
        <w:trPr>
          <w:trHeight w:val="168"/>
        </w:trPr>
        <w:tc>
          <w:tcPr>
            <w:tcW w:w="54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(Increase) decrease in inventory</w:t>
            </w:r>
          </w:p>
        </w:tc>
        <w:tc>
          <w:tcPr>
            <w:tcW w:w="700" w:type="dxa"/>
            <w:vAlign w:val="bottom"/>
          </w:tcPr>
          <w:p>
            <w:pPr>
              <w:spacing w:after="0"/>
              <w:rPr>
                <w:sz w:val="14"/>
                <w:szCs w:val="14"/>
                <w:color w:val="auto"/>
              </w:rPr>
            </w:pP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192,041</w:t>
            </w:r>
          </w:p>
        </w:tc>
        <w:tc>
          <w:tcPr>
            <w:tcW w:w="4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84,453</w:t>
            </w:r>
          </w:p>
        </w:tc>
        <w:tc>
          <w:tcPr>
            <w:tcW w:w="340" w:type="dxa"/>
            <w:vAlign w:val="bottom"/>
          </w:tcPr>
          <w:p>
            <w:pPr>
              <w:spacing w:after="0"/>
              <w:rPr>
                <w:sz w:val="14"/>
                <w:szCs w:val="14"/>
                <w:color w:val="auto"/>
              </w:rPr>
            </w:pP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161,181</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8,807</w:t>
            </w:r>
          </w:p>
        </w:tc>
        <w:tc>
          <w:tcPr>
            <w:tcW w:w="0" w:type="dxa"/>
            <w:vAlign w:val="bottom"/>
          </w:tcPr>
          <w:p>
            <w:pPr>
              <w:spacing w:after="0"/>
              <w:rPr>
                <w:sz w:val="1"/>
                <w:szCs w:val="1"/>
                <w:color w:val="auto"/>
              </w:rPr>
            </w:pPr>
          </w:p>
        </w:tc>
      </w:tr>
      <w:tr>
        <w:trPr>
          <w:trHeight w:val="168"/>
        </w:trPr>
        <w:tc>
          <w:tcPr>
            <w:tcW w:w="54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(Increase) decrease in other current assets</w:t>
            </w:r>
          </w:p>
        </w:tc>
        <w:tc>
          <w:tcPr>
            <w:tcW w:w="70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(71,464)</w:t>
            </w:r>
          </w:p>
        </w:tc>
        <w:tc>
          <w:tcPr>
            <w:tcW w:w="48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(41,536)</w:t>
            </w:r>
          </w:p>
        </w:tc>
        <w:tc>
          <w:tcPr>
            <w:tcW w:w="340" w:type="dxa"/>
            <w:vAlign w:val="bottom"/>
          </w:tcPr>
          <w:p>
            <w:pPr>
              <w:spacing w:after="0"/>
              <w:rPr>
                <w:sz w:val="14"/>
                <w:szCs w:val="14"/>
                <w:color w:val="auto"/>
              </w:rPr>
            </w:pP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4,856</w:t>
            </w:r>
          </w:p>
        </w:tc>
        <w:tc>
          <w:tcPr>
            <w:tcW w:w="2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4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Increase (decrease) in accounts payable</w:t>
            </w:r>
          </w:p>
        </w:tc>
        <w:tc>
          <w:tcPr>
            <w:tcW w:w="70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(476,323)</w:t>
            </w:r>
          </w:p>
        </w:tc>
        <w:tc>
          <w:tcPr>
            <w:tcW w:w="4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282,859</w:t>
            </w:r>
          </w:p>
        </w:tc>
        <w:tc>
          <w:tcPr>
            <w:tcW w:w="340" w:type="dxa"/>
            <w:vAlign w:val="bottom"/>
          </w:tcPr>
          <w:p>
            <w:pPr>
              <w:spacing w:after="0"/>
              <w:rPr>
                <w:sz w:val="14"/>
                <w:szCs w:val="14"/>
                <w:color w:val="auto"/>
              </w:rPr>
            </w:pP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121,701</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(374,088)</w:t>
            </w:r>
          </w:p>
        </w:tc>
        <w:tc>
          <w:tcPr>
            <w:tcW w:w="0" w:type="dxa"/>
            <w:vAlign w:val="bottom"/>
          </w:tcPr>
          <w:p>
            <w:pPr>
              <w:spacing w:after="0"/>
              <w:rPr>
                <w:sz w:val="1"/>
                <w:szCs w:val="1"/>
                <w:color w:val="auto"/>
              </w:rPr>
            </w:pPr>
          </w:p>
        </w:tc>
      </w:tr>
      <w:tr>
        <w:trPr>
          <w:trHeight w:val="245"/>
        </w:trPr>
        <w:tc>
          <w:tcPr>
            <w:tcW w:w="5480" w:type="dxa"/>
            <w:vAlign w:val="bottom"/>
            <w:vMerge w:val="restart"/>
          </w:tcPr>
          <w:p>
            <w:pPr>
              <w:ind w:left="1240"/>
              <w:spacing w:after="0"/>
              <w:rPr>
                <w:sz w:val="20"/>
                <w:szCs w:val="20"/>
                <w:color w:val="auto"/>
              </w:rPr>
            </w:pPr>
            <w:r>
              <w:rPr>
                <w:rFonts w:ascii="Courier New" w:cs="Courier New" w:eastAsia="Courier New" w:hAnsi="Courier New"/>
                <w:sz w:val="15"/>
                <w:szCs w:val="15"/>
                <w:color w:val="auto"/>
              </w:rPr>
              <w:t>Net cash provided by (used in)</w:t>
            </w:r>
          </w:p>
        </w:tc>
        <w:tc>
          <w:tcPr>
            <w:tcW w:w="18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91"/>
        </w:trPr>
        <w:tc>
          <w:tcPr>
            <w:tcW w:w="548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11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(526,622)</w:t>
            </w:r>
          </w:p>
        </w:tc>
        <w:tc>
          <w:tcPr>
            <w:tcW w:w="480" w:type="dxa"/>
            <w:vAlign w:val="bottom"/>
          </w:tcPr>
          <w:p>
            <w:pPr>
              <w:spacing w:after="0"/>
              <w:rPr>
                <w:sz w:val="7"/>
                <w:szCs w:val="7"/>
                <w:color w:val="auto"/>
              </w:rPr>
            </w:pPr>
          </w:p>
        </w:tc>
        <w:tc>
          <w:tcPr>
            <w:tcW w:w="100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639,916</w:t>
            </w:r>
          </w:p>
        </w:tc>
        <w:tc>
          <w:tcPr>
            <w:tcW w:w="340" w:type="dxa"/>
            <w:vAlign w:val="bottom"/>
          </w:tcPr>
          <w:p>
            <w:pPr>
              <w:spacing w:after="0"/>
              <w:rPr>
                <w:sz w:val="7"/>
                <w:szCs w:val="7"/>
                <w:color w:val="auto"/>
              </w:rPr>
            </w:pPr>
          </w:p>
        </w:tc>
        <w:tc>
          <w:tcPr>
            <w:tcW w:w="136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399,392</w:t>
            </w:r>
          </w:p>
        </w:tc>
        <w:tc>
          <w:tcPr>
            <w:tcW w:w="260" w:type="dxa"/>
            <w:vAlign w:val="bottom"/>
          </w:tcPr>
          <w:p>
            <w:pPr>
              <w:spacing w:after="0"/>
              <w:rPr>
                <w:sz w:val="7"/>
                <w:szCs w:val="7"/>
                <w:color w:val="auto"/>
              </w:rPr>
            </w:pP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229,487</w:t>
            </w:r>
          </w:p>
        </w:tc>
        <w:tc>
          <w:tcPr>
            <w:tcW w:w="0" w:type="dxa"/>
            <w:vAlign w:val="bottom"/>
          </w:tcPr>
          <w:p>
            <w:pPr>
              <w:spacing w:after="0"/>
              <w:rPr>
                <w:sz w:val="1"/>
                <w:szCs w:val="1"/>
                <w:color w:val="auto"/>
              </w:rPr>
            </w:pPr>
          </w:p>
        </w:tc>
      </w:tr>
      <w:tr>
        <w:trPr>
          <w:trHeight w:val="168"/>
        </w:trPr>
        <w:tc>
          <w:tcPr>
            <w:tcW w:w="548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operating activities</w:t>
            </w:r>
          </w:p>
        </w:tc>
        <w:tc>
          <w:tcPr>
            <w:tcW w:w="7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5480" w:type="dxa"/>
            <w:vAlign w:val="bottom"/>
          </w:tcPr>
          <w:p>
            <w:pPr>
              <w:spacing w:after="0"/>
              <w:rPr>
                <w:sz w:val="21"/>
                <w:szCs w:val="21"/>
                <w:color w:val="auto"/>
              </w:rPr>
            </w:pPr>
          </w:p>
        </w:tc>
        <w:tc>
          <w:tcPr>
            <w:tcW w:w="18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259"/>
        </w:trPr>
        <w:tc>
          <w:tcPr>
            <w:tcW w:w="548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700" w:type="dxa"/>
            <w:vAlign w:val="bottom"/>
          </w:tcPr>
          <w:p>
            <w:pPr>
              <w:spacing w:after="0"/>
              <w:rPr>
                <w:sz w:val="22"/>
                <w:szCs w:val="22"/>
                <w:color w:val="auto"/>
              </w:rPr>
            </w:pPr>
          </w:p>
        </w:tc>
        <w:tc>
          <w:tcPr>
            <w:tcW w:w="11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(57,927)</w:t>
            </w:r>
          </w:p>
        </w:tc>
        <w:tc>
          <w:tcPr>
            <w:tcW w:w="480" w:type="dxa"/>
            <w:vAlign w:val="bottom"/>
          </w:tcPr>
          <w:p>
            <w:pPr>
              <w:spacing w:after="0"/>
              <w:rPr>
                <w:sz w:val="22"/>
                <w:szCs w:val="22"/>
                <w:color w:val="auto"/>
              </w:rPr>
            </w:pPr>
          </w:p>
        </w:tc>
        <w:tc>
          <w:tcPr>
            <w:tcW w:w="10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(3,044)</w:t>
            </w:r>
          </w:p>
        </w:tc>
        <w:tc>
          <w:tcPr>
            <w:tcW w:w="340" w:type="dxa"/>
            <w:vAlign w:val="bottom"/>
          </w:tcPr>
          <w:p>
            <w:pPr>
              <w:spacing w:after="0"/>
              <w:rPr>
                <w:sz w:val="22"/>
                <w:szCs w:val="22"/>
                <w:color w:val="auto"/>
              </w:rPr>
            </w:pPr>
          </w:p>
        </w:tc>
        <w:tc>
          <w:tcPr>
            <w:tcW w:w="136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(16,900)</w:t>
            </w:r>
          </w:p>
        </w:tc>
        <w:tc>
          <w:tcPr>
            <w:tcW w:w="260" w:type="dxa"/>
            <w:vAlign w:val="bottom"/>
          </w:tcPr>
          <w:p>
            <w:pPr>
              <w:spacing w:after="0"/>
              <w:rPr>
                <w:sz w:val="22"/>
                <w:szCs w:val="22"/>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(4,276)</w:t>
            </w:r>
          </w:p>
        </w:tc>
        <w:tc>
          <w:tcPr>
            <w:tcW w:w="0" w:type="dxa"/>
            <w:vAlign w:val="bottom"/>
          </w:tcPr>
          <w:p>
            <w:pPr>
              <w:spacing w:after="0"/>
              <w:rPr>
                <w:sz w:val="1"/>
                <w:szCs w:val="1"/>
                <w:color w:val="auto"/>
              </w:rPr>
            </w:pPr>
          </w:p>
        </w:tc>
      </w:tr>
      <w:tr>
        <w:trPr>
          <w:trHeight w:val="168"/>
        </w:trPr>
        <w:tc>
          <w:tcPr>
            <w:tcW w:w="5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Purchase of fixed assets</w:t>
            </w:r>
          </w:p>
        </w:tc>
        <w:tc>
          <w:tcPr>
            <w:tcW w:w="7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from sale of equipment</w:t>
            </w:r>
          </w:p>
        </w:tc>
        <w:tc>
          <w:tcPr>
            <w:tcW w:w="70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36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47,000</w:t>
            </w:r>
          </w:p>
        </w:tc>
        <w:tc>
          <w:tcPr>
            <w:tcW w:w="0" w:type="dxa"/>
            <w:vAlign w:val="bottom"/>
          </w:tcPr>
          <w:p>
            <w:pPr>
              <w:spacing w:after="0"/>
              <w:rPr>
                <w:sz w:val="1"/>
                <w:szCs w:val="1"/>
                <w:color w:val="auto"/>
              </w:rPr>
            </w:pPr>
          </w:p>
        </w:tc>
      </w:tr>
      <w:tr>
        <w:trPr>
          <w:trHeight w:val="168"/>
        </w:trPr>
        <w:tc>
          <w:tcPr>
            <w:tcW w:w="5480" w:type="dxa"/>
            <w:vAlign w:val="bottom"/>
            <w:vMerge w:val="restart"/>
          </w:tcPr>
          <w:p>
            <w:pPr>
              <w:ind w:left="1240"/>
              <w:spacing w:after="0"/>
              <w:rPr>
                <w:sz w:val="20"/>
                <w:szCs w:val="20"/>
                <w:color w:val="auto"/>
              </w:rPr>
            </w:pPr>
            <w:r>
              <w:rPr>
                <w:rFonts w:ascii="Courier New" w:cs="Courier New" w:eastAsia="Courier New" w:hAnsi="Courier New"/>
                <w:sz w:val="15"/>
                <w:szCs w:val="15"/>
                <w:color w:val="auto"/>
              </w:rPr>
              <w:t>Net cash used in investing activities</w:t>
            </w:r>
          </w:p>
        </w:tc>
        <w:tc>
          <w:tcPr>
            <w:tcW w:w="184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168"/>
        </w:trPr>
        <w:tc>
          <w:tcPr>
            <w:tcW w:w="548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(57,927)</w:t>
            </w:r>
          </w:p>
        </w:tc>
        <w:tc>
          <w:tcPr>
            <w:tcW w:w="48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(3,044)</w:t>
            </w:r>
          </w:p>
        </w:tc>
        <w:tc>
          <w:tcPr>
            <w:tcW w:w="34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(16,900)</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42,724</w:t>
            </w:r>
          </w:p>
        </w:tc>
        <w:tc>
          <w:tcPr>
            <w:tcW w:w="0" w:type="dxa"/>
            <w:vAlign w:val="bottom"/>
          </w:tcPr>
          <w:p>
            <w:pPr>
              <w:spacing w:after="0"/>
              <w:rPr>
                <w:sz w:val="1"/>
                <w:szCs w:val="1"/>
                <w:color w:val="auto"/>
              </w:rPr>
            </w:pPr>
          </w:p>
        </w:tc>
      </w:tr>
      <w:tr>
        <w:trPr>
          <w:trHeight w:val="245"/>
        </w:trPr>
        <w:tc>
          <w:tcPr>
            <w:tcW w:w="5480" w:type="dxa"/>
            <w:vAlign w:val="bottom"/>
          </w:tcPr>
          <w:p>
            <w:pPr>
              <w:spacing w:after="0"/>
              <w:rPr>
                <w:sz w:val="21"/>
                <w:szCs w:val="21"/>
                <w:color w:val="auto"/>
              </w:rPr>
            </w:pPr>
          </w:p>
        </w:tc>
        <w:tc>
          <w:tcPr>
            <w:tcW w:w="18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259"/>
        </w:trPr>
        <w:tc>
          <w:tcPr>
            <w:tcW w:w="548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700" w:type="dxa"/>
            <w:vAlign w:val="bottom"/>
          </w:tcPr>
          <w:p>
            <w:pPr>
              <w:spacing w:after="0"/>
              <w:rPr>
                <w:sz w:val="22"/>
                <w:szCs w:val="22"/>
                <w:color w:val="auto"/>
              </w:rPr>
            </w:pPr>
          </w:p>
        </w:tc>
        <w:tc>
          <w:tcPr>
            <w:tcW w:w="114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20,000</w:t>
            </w:r>
          </w:p>
        </w:tc>
        <w:tc>
          <w:tcPr>
            <w:tcW w:w="480" w:type="dxa"/>
            <w:vAlign w:val="bottom"/>
          </w:tcPr>
          <w:p>
            <w:pPr>
              <w:spacing w:after="0"/>
              <w:rPr>
                <w:sz w:val="22"/>
                <w:szCs w:val="22"/>
                <w:color w:val="auto"/>
              </w:rPr>
            </w:pPr>
          </w:p>
        </w:tc>
        <w:tc>
          <w:tcPr>
            <w:tcW w:w="100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22"/>
                <w:szCs w:val="22"/>
                <w:color w:val="auto"/>
              </w:rPr>
            </w:pPr>
          </w:p>
        </w:tc>
        <w:tc>
          <w:tcPr>
            <w:tcW w:w="136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16,520</w:t>
            </w:r>
          </w:p>
        </w:tc>
        <w:tc>
          <w:tcPr>
            <w:tcW w:w="260" w:type="dxa"/>
            <w:vAlign w:val="bottom"/>
          </w:tcPr>
          <w:p>
            <w:pPr>
              <w:spacing w:after="0"/>
              <w:rPr>
                <w:sz w:val="22"/>
                <w:szCs w:val="22"/>
                <w:color w:val="auto"/>
              </w:rPr>
            </w:pPr>
          </w:p>
        </w:tc>
        <w:tc>
          <w:tcPr>
            <w:tcW w:w="7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from notes payable</w:t>
            </w:r>
          </w:p>
        </w:tc>
        <w:tc>
          <w:tcPr>
            <w:tcW w:w="7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Repayments of notes payable</w:t>
            </w:r>
          </w:p>
        </w:tc>
        <w:tc>
          <w:tcPr>
            <w:tcW w:w="70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(7,032)</w:t>
            </w:r>
          </w:p>
        </w:tc>
        <w:tc>
          <w:tcPr>
            <w:tcW w:w="48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(11,502)</w:t>
            </w:r>
          </w:p>
        </w:tc>
        <w:tc>
          <w:tcPr>
            <w:tcW w:w="34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(11,229)</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(4,363)</w:t>
            </w:r>
          </w:p>
        </w:tc>
        <w:tc>
          <w:tcPr>
            <w:tcW w:w="0" w:type="dxa"/>
            <w:vAlign w:val="bottom"/>
          </w:tcPr>
          <w:p>
            <w:pPr>
              <w:spacing w:after="0"/>
              <w:rPr>
                <w:sz w:val="1"/>
                <w:szCs w:val="1"/>
                <w:color w:val="auto"/>
              </w:rPr>
            </w:pPr>
          </w:p>
        </w:tc>
      </w:tr>
      <w:tr>
        <w:trPr>
          <w:trHeight w:val="168"/>
        </w:trPr>
        <w:tc>
          <w:tcPr>
            <w:tcW w:w="5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from line of credit</w:t>
            </w:r>
          </w:p>
        </w:tc>
        <w:tc>
          <w:tcPr>
            <w:tcW w:w="700" w:type="dxa"/>
            <w:vAlign w:val="bottom"/>
          </w:tcPr>
          <w:p>
            <w:pPr>
              <w:spacing w:after="0"/>
              <w:rPr>
                <w:sz w:val="14"/>
                <w:szCs w:val="14"/>
                <w:color w:val="auto"/>
              </w:rPr>
            </w:pP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8"/>
              </w:rPr>
              <w:t>1,123,541</w:t>
            </w:r>
          </w:p>
        </w:tc>
        <w:tc>
          <w:tcPr>
            <w:tcW w:w="4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444,703</w:t>
            </w:r>
          </w:p>
        </w:tc>
        <w:tc>
          <w:tcPr>
            <w:tcW w:w="340" w:type="dxa"/>
            <w:vAlign w:val="bottom"/>
          </w:tcPr>
          <w:p>
            <w:pPr>
              <w:spacing w:after="0"/>
              <w:rPr>
                <w:sz w:val="14"/>
                <w:szCs w:val="14"/>
                <w:color w:val="auto"/>
              </w:rPr>
            </w:pP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219,859</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214,141</w:t>
            </w:r>
          </w:p>
        </w:tc>
        <w:tc>
          <w:tcPr>
            <w:tcW w:w="0" w:type="dxa"/>
            <w:vAlign w:val="bottom"/>
          </w:tcPr>
          <w:p>
            <w:pPr>
              <w:spacing w:after="0"/>
              <w:rPr>
                <w:sz w:val="1"/>
                <w:szCs w:val="1"/>
                <w:color w:val="auto"/>
              </w:rPr>
            </w:pPr>
          </w:p>
        </w:tc>
      </w:tr>
      <w:tr>
        <w:trPr>
          <w:trHeight w:val="168"/>
        </w:trPr>
        <w:tc>
          <w:tcPr>
            <w:tcW w:w="5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Repayments for line of credit</w:t>
            </w:r>
          </w:p>
        </w:tc>
        <w:tc>
          <w:tcPr>
            <w:tcW w:w="70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(659,841)</w:t>
            </w:r>
          </w:p>
        </w:tc>
        <w:tc>
          <w:tcPr>
            <w:tcW w:w="48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(718,003)</w:t>
            </w:r>
          </w:p>
        </w:tc>
        <w:tc>
          <w:tcPr>
            <w:tcW w:w="34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(318,159)</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(404,541)</w:t>
            </w:r>
          </w:p>
        </w:tc>
        <w:tc>
          <w:tcPr>
            <w:tcW w:w="0" w:type="dxa"/>
            <w:vAlign w:val="bottom"/>
          </w:tcPr>
          <w:p>
            <w:pPr>
              <w:spacing w:after="0"/>
              <w:rPr>
                <w:sz w:val="1"/>
                <w:szCs w:val="1"/>
                <w:color w:val="auto"/>
              </w:rPr>
            </w:pPr>
          </w:p>
        </w:tc>
      </w:tr>
      <w:tr>
        <w:trPr>
          <w:trHeight w:val="168"/>
        </w:trPr>
        <w:tc>
          <w:tcPr>
            <w:tcW w:w="5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Loans to stockholders</w:t>
            </w:r>
          </w:p>
        </w:tc>
        <w:tc>
          <w:tcPr>
            <w:tcW w:w="70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(554,395)</w:t>
            </w:r>
          </w:p>
        </w:tc>
        <w:tc>
          <w:tcPr>
            <w:tcW w:w="48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(280,669)</w:t>
            </w:r>
          </w:p>
        </w:tc>
        <w:tc>
          <w:tcPr>
            <w:tcW w:w="340" w:type="dxa"/>
            <w:vAlign w:val="bottom"/>
          </w:tcPr>
          <w:p>
            <w:pPr>
              <w:spacing w:after="0"/>
              <w:rPr>
                <w:sz w:val="14"/>
                <w:szCs w:val="14"/>
                <w:color w:val="auto"/>
              </w:rPr>
            </w:pP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27,726</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(50,000)</w:t>
            </w:r>
          </w:p>
        </w:tc>
        <w:tc>
          <w:tcPr>
            <w:tcW w:w="0" w:type="dxa"/>
            <w:vAlign w:val="bottom"/>
          </w:tcPr>
          <w:p>
            <w:pPr>
              <w:spacing w:after="0"/>
              <w:rPr>
                <w:sz w:val="1"/>
                <w:szCs w:val="1"/>
                <w:color w:val="auto"/>
              </w:rPr>
            </w:pPr>
          </w:p>
        </w:tc>
      </w:tr>
      <w:tr>
        <w:trPr>
          <w:trHeight w:val="168"/>
        </w:trPr>
        <w:tc>
          <w:tcPr>
            <w:tcW w:w="5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Payment from stockholders</w:t>
            </w:r>
          </w:p>
        </w:tc>
        <w:tc>
          <w:tcPr>
            <w:tcW w:w="700" w:type="dxa"/>
            <w:vAlign w:val="bottom"/>
          </w:tcPr>
          <w:p>
            <w:pPr>
              <w:spacing w:after="0"/>
              <w:rPr>
                <w:sz w:val="14"/>
                <w:szCs w:val="14"/>
                <w:color w:val="auto"/>
              </w:rPr>
            </w:pP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513,189</w:t>
            </w:r>
          </w:p>
        </w:tc>
        <w:tc>
          <w:tcPr>
            <w:tcW w:w="4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161,617</w:t>
            </w:r>
          </w:p>
        </w:tc>
        <w:tc>
          <w:tcPr>
            <w:tcW w:w="34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(230,670)</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110,187</w:t>
            </w:r>
          </w:p>
        </w:tc>
        <w:tc>
          <w:tcPr>
            <w:tcW w:w="0" w:type="dxa"/>
            <w:vAlign w:val="bottom"/>
          </w:tcPr>
          <w:p>
            <w:pPr>
              <w:spacing w:after="0"/>
              <w:rPr>
                <w:sz w:val="1"/>
                <w:szCs w:val="1"/>
                <w:color w:val="auto"/>
              </w:rPr>
            </w:pPr>
          </w:p>
        </w:tc>
      </w:tr>
      <w:tr>
        <w:trPr>
          <w:trHeight w:val="168"/>
        </w:trPr>
        <w:tc>
          <w:tcPr>
            <w:tcW w:w="5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Distribution to stockholders</w:t>
            </w:r>
          </w:p>
        </w:tc>
        <w:tc>
          <w:tcPr>
            <w:tcW w:w="70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(53,019)</w:t>
            </w:r>
          </w:p>
        </w:tc>
        <w:tc>
          <w:tcPr>
            <w:tcW w:w="48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(183,034)</w:t>
            </w:r>
          </w:p>
        </w:tc>
        <w:tc>
          <w:tcPr>
            <w:tcW w:w="34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(23,269)</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(185,618)</w:t>
            </w:r>
          </w:p>
        </w:tc>
        <w:tc>
          <w:tcPr>
            <w:tcW w:w="0" w:type="dxa"/>
            <w:vAlign w:val="bottom"/>
          </w:tcPr>
          <w:p>
            <w:pPr>
              <w:spacing w:after="0"/>
              <w:rPr>
                <w:sz w:val="1"/>
                <w:szCs w:val="1"/>
                <w:color w:val="auto"/>
              </w:rPr>
            </w:pPr>
          </w:p>
        </w:tc>
      </w:tr>
      <w:tr>
        <w:trPr>
          <w:trHeight w:val="245"/>
        </w:trPr>
        <w:tc>
          <w:tcPr>
            <w:tcW w:w="5480" w:type="dxa"/>
            <w:vAlign w:val="bottom"/>
            <w:vMerge w:val="restart"/>
          </w:tcPr>
          <w:p>
            <w:pPr>
              <w:ind w:left="1240"/>
              <w:spacing w:after="0"/>
              <w:rPr>
                <w:sz w:val="20"/>
                <w:szCs w:val="20"/>
                <w:color w:val="auto"/>
              </w:rPr>
            </w:pPr>
            <w:r>
              <w:rPr>
                <w:rFonts w:ascii="Courier New" w:cs="Courier New" w:eastAsia="Courier New" w:hAnsi="Courier New"/>
                <w:sz w:val="15"/>
                <w:szCs w:val="15"/>
                <w:color w:val="auto"/>
              </w:rPr>
              <w:t>Net cash provided by (used in)</w:t>
            </w:r>
          </w:p>
        </w:tc>
        <w:tc>
          <w:tcPr>
            <w:tcW w:w="18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91"/>
        </w:trPr>
        <w:tc>
          <w:tcPr>
            <w:tcW w:w="548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114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382,443</w:t>
            </w:r>
          </w:p>
        </w:tc>
        <w:tc>
          <w:tcPr>
            <w:tcW w:w="480" w:type="dxa"/>
            <w:vAlign w:val="bottom"/>
          </w:tcPr>
          <w:p>
            <w:pPr>
              <w:spacing w:after="0"/>
              <w:rPr>
                <w:sz w:val="7"/>
                <w:szCs w:val="7"/>
                <w:color w:val="auto"/>
              </w:rPr>
            </w:pPr>
          </w:p>
        </w:tc>
        <w:tc>
          <w:tcPr>
            <w:tcW w:w="10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w w:val="93"/>
              </w:rPr>
              <w:t>(586,888)</w:t>
            </w:r>
          </w:p>
        </w:tc>
        <w:tc>
          <w:tcPr>
            <w:tcW w:w="340" w:type="dxa"/>
            <w:vAlign w:val="bottom"/>
          </w:tcPr>
          <w:p>
            <w:pPr>
              <w:spacing w:after="0"/>
              <w:rPr>
                <w:sz w:val="7"/>
                <w:szCs w:val="7"/>
                <w:color w:val="auto"/>
              </w:rPr>
            </w:pPr>
          </w:p>
        </w:tc>
        <w:tc>
          <w:tcPr>
            <w:tcW w:w="136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(319,222)</w:t>
            </w:r>
          </w:p>
        </w:tc>
        <w:tc>
          <w:tcPr>
            <w:tcW w:w="260" w:type="dxa"/>
            <w:vAlign w:val="bottom"/>
          </w:tcPr>
          <w:p>
            <w:pPr>
              <w:spacing w:after="0"/>
              <w:rPr>
                <w:sz w:val="7"/>
                <w:szCs w:val="7"/>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3"/>
              </w:rPr>
              <w:t>(320,194)</w:t>
            </w:r>
          </w:p>
        </w:tc>
        <w:tc>
          <w:tcPr>
            <w:tcW w:w="0" w:type="dxa"/>
            <w:vAlign w:val="bottom"/>
          </w:tcPr>
          <w:p>
            <w:pPr>
              <w:spacing w:after="0"/>
              <w:rPr>
                <w:sz w:val="1"/>
                <w:szCs w:val="1"/>
                <w:color w:val="auto"/>
              </w:rPr>
            </w:pPr>
          </w:p>
        </w:tc>
      </w:tr>
      <w:tr>
        <w:trPr>
          <w:trHeight w:val="168"/>
        </w:trPr>
        <w:tc>
          <w:tcPr>
            <w:tcW w:w="548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financing activities</w:t>
            </w:r>
          </w:p>
        </w:tc>
        <w:tc>
          <w:tcPr>
            <w:tcW w:w="7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5480" w:type="dxa"/>
            <w:vAlign w:val="bottom"/>
            <w:vMerge w:val="restart"/>
          </w:tcPr>
          <w:p>
            <w:pPr>
              <w:ind w:left="1240"/>
              <w:spacing w:after="0"/>
              <w:rPr>
                <w:sz w:val="20"/>
                <w:szCs w:val="20"/>
                <w:color w:val="auto"/>
              </w:rPr>
            </w:pPr>
            <w:r>
              <w:rPr>
                <w:rFonts w:ascii="Courier New" w:cs="Courier New" w:eastAsia="Courier New" w:hAnsi="Courier New"/>
                <w:sz w:val="15"/>
                <w:szCs w:val="15"/>
                <w:color w:val="auto"/>
              </w:rPr>
              <w:t>Net increase (decrease) in cash for</w:t>
            </w:r>
          </w:p>
        </w:tc>
        <w:tc>
          <w:tcPr>
            <w:tcW w:w="18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91"/>
        </w:trPr>
        <w:tc>
          <w:tcPr>
            <w:tcW w:w="548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11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(202,106)</w:t>
            </w:r>
          </w:p>
        </w:tc>
        <w:tc>
          <w:tcPr>
            <w:tcW w:w="480" w:type="dxa"/>
            <w:vAlign w:val="bottom"/>
          </w:tcPr>
          <w:p>
            <w:pPr>
              <w:spacing w:after="0"/>
              <w:rPr>
                <w:sz w:val="7"/>
                <w:szCs w:val="7"/>
                <w:color w:val="auto"/>
              </w:rPr>
            </w:pPr>
          </w:p>
        </w:tc>
        <w:tc>
          <w:tcPr>
            <w:tcW w:w="100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49,984</w:t>
            </w:r>
          </w:p>
        </w:tc>
        <w:tc>
          <w:tcPr>
            <w:tcW w:w="340" w:type="dxa"/>
            <w:vAlign w:val="bottom"/>
          </w:tcPr>
          <w:p>
            <w:pPr>
              <w:spacing w:after="0"/>
              <w:rPr>
                <w:sz w:val="7"/>
                <w:szCs w:val="7"/>
                <w:color w:val="auto"/>
              </w:rPr>
            </w:pPr>
          </w:p>
        </w:tc>
        <w:tc>
          <w:tcPr>
            <w:tcW w:w="136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63,270</w:t>
            </w:r>
          </w:p>
        </w:tc>
        <w:tc>
          <w:tcPr>
            <w:tcW w:w="260" w:type="dxa"/>
            <w:vAlign w:val="bottom"/>
          </w:tcPr>
          <w:p>
            <w:pPr>
              <w:spacing w:after="0"/>
              <w:rPr>
                <w:sz w:val="7"/>
                <w:szCs w:val="7"/>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(47,983)</w:t>
            </w:r>
          </w:p>
        </w:tc>
        <w:tc>
          <w:tcPr>
            <w:tcW w:w="0" w:type="dxa"/>
            <w:vAlign w:val="bottom"/>
          </w:tcPr>
          <w:p>
            <w:pPr>
              <w:spacing w:after="0"/>
              <w:rPr>
                <w:sz w:val="1"/>
                <w:szCs w:val="1"/>
                <w:color w:val="auto"/>
              </w:rPr>
            </w:pPr>
          </w:p>
        </w:tc>
      </w:tr>
      <w:tr>
        <w:trPr>
          <w:trHeight w:val="245"/>
        </w:trPr>
        <w:tc>
          <w:tcPr>
            <w:tcW w:w="5480" w:type="dxa"/>
            <w:vAlign w:val="bottom"/>
          </w:tcPr>
          <w:p>
            <w:pPr>
              <w:ind w:left="1580"/>
              <w:spacing w:after="0"/>
              <w:rPr>
                <w:sz w:val="20"/>
                <w:szCs w:val="20"/>
                <w:color w:val="auto"/>
              </w:rPr>
            </w:pPr>
            <w:r>
              <w:rPr>
                <w:rFonts w:ascii="Courier New" w:cs="Courier New" w:eastAsia="Courier New" w:hAnsi="Courier New"/>
                <w:sz w:val="15"/>
                <w:szCs w:val="15"/>
                <w:color w:val="auto"/>
              </w:rPr>
              <w:t>the period</w:t>
            </w:r>
          </w:p>
        </w:tc>
        <w:tc>
          <w:tcPr>
            <w:tcW w:w="70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5480" w:type="dxa"/>
            <w:vAlign w:val="bottom"/>
          </w:tcPr>
          <w:p>
            <w:pPr>
              <w:spacing w:after="0"/>
              <w:rPr>
                <w:sz w:val="20"/>
                <w:szCs w:val="20"/>
                <w:color w:val="auto"/>
              </w:rPr>
            </w:pPr>
            <w:r>
              <w:rPr>
                <w:rFonts w:ascii="Courier New" w:cs="Courier New" w:eastAsia="Courier New" w:hAnsi="Courier New"/>
                <w:sz w:val="15"/>
                <w:szCs w:val="15"/>
                <w:color w:val="auto"/>
              </w:rPr>
              <w:t>Cash, beginning of period</w:t>
            </w:r>
          </w:p>
        </w:tc>
        <w:tc>
          <w:tcPr>
            <w:tcW w:w="700" w:type="dxa"/>
            <w:vAlign w:val="bottom"/>
          </w:tcPr>
          <w:p>
            <w:pPr>
              <w:spacing w:after="0"/>
              <w:rPr>
                <w:sz w:val="22"/>
                <w:szCs w:val="22"/>
                <w:color w:val="auto"/>
              </w:rPr>
            </w:pPr>
          </w:p>
        </w:tc>
        <w:tc>
          <w:tcPr>
            <w:tcW w:w="11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244,862</w:t>
            </w:r>
          </w:p>
        </w:tc>
        <w:tc>
          <w:tcPr>
            <w:tcW w:w="480" w:type="dxa"/>
            <w:vAlign w:val="bottom"/>
          </w:tcPr>
          <w:p>
            <w:pPr>
              <w:spacing w:after="0"/>
              <w:rPr>
                <w:sz w:val="22"/>
                <w:szCs w:val="22"/>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42,756</w:t>
            </w:r>
          </w:p>
        </w:tc>
        <w:tc>
          <w:tcPr>
            <w:tcW w:w="340" w:type="dxa"/>
            <w:vAlign w:val="bottom"/>
          </w:tcPr>
          <w:p>
            <w:pPr>
              <w:spacing w:after="0"/>
              <w:rPr>
                <w:sz w:val="22"/>
                <w:szCs w:val="22"/>
                <w:color w:val="auto"/>
              </w:rPr>
            </w:pP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42,756</w:t>
            </w:r>
          </w:p>
        </w:tc>
        <w:tc>
          <w:tcPr>
            <w:tcW w:w="260" w:type="dxa"/>
            <w:vAlign w:val="bottom"/>
          </w:tcPr>
          <w:p>
            <w:pPr>
              <w:spacing w:after="0"/>
              <w:rPr>
                <w:sz w:val="22"/>
                <w:szCs w:val="22"/>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92,739</w:t>
            </w:r>
          </w:p>
        </w:tc>
        <w:tc>
          <w:tcPr>
            <w:tcW w:w="0" w:type="dxa"/>
            <w:vAlign w:val="bottom"/>
          </w:tcPr>
          <w:p>
            <w:pPr>
              <w:spacing w:after="0"/>
              <w:rPr>
                <w:sz w:val="1"/>
                <w:szCs w:val="1"/>
                <w:color w:val="auto"/>
              </w:rPr>
            </w:pPr>
          </w:p>
        </w:tc>
      </w:tr>
      <w:tr>
        <w:trPr>
          <w:trHeight w:val="245"/>
        </w:trPr>
        <w:tc>
          <w:tcPr>
            <w:tcW w:w="5480" w:type="dxa"/>
            <w:vAlign w:val="bottom"/>
          </w:tcPr>
          <w:p>
            <w:pPr>
              <w:spacing w:after="0"/>
              <w:rPr>
                <w:sz w:val="21"/>
                <w:szCs w:val="21"/>
                <w:color w:val="auto"/>
              </w:rPr>
            </w:pPr>
          </w:p>
        </w:tc>
        <w:tc>
          <w:tcPr>
            <w:tcW w:w="18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259"/>
        </w:trPr>
        <w:tc>
          <w:tcPr>
            <w:tcW w:w="5480" w:type="dxa"/>
            <w:vAlign w:val="bottom"/>
          </w:tcPr>
          <w:p>
            <w:pPr>
              <w:ind w:left="1240"/>
              <w:spacing w:after="0"/>
              <w:rPr>
                <w:sz w:val="20"/>
                <w:szCs w:val="20"/>
                <w:color w:val="auto"/>
              </w:rPr>
            </w:pPr>
            <w:r>
              <w:rPr>
                <w:rFonts w:ascii="Courier New" w:cs="Courier New" w:eastAsia="Courier New" w:hAnsi="Courier New"/>
                <w:sz w:val="15"/>
                <w:szCs w:val="15"/>
                <w:color w:val="auto"/>
              </w:rPr>
              <w:t>Cash, end of period</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42,756</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92,740</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106,026</w:t>
            </w:r>
          </w:p>
        </w:tc>
        <w:tc>
          <w:tcPr>
            <w:tcW w:w="260" w:type="dxa"/>
            <w:vAlign w:val="bottom"/>
          </w:tcPr>
          <w:p>
            <w:pPr>
              <w:jc w:val="right"/>
              <w:ind w:right="87"/>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44,756</w:t>
            </w:r>
          </w:p>
        </w:tc>
        <w:tc>
          <w:tcPr>
            <w:tcW w:w="0" w:type="dxa"/>
            <w:vAlign w:val="bottom"/>
          </w:tcPr>
          <w:p>
            <w:pPr>
              <w:spacing w:after="0"/>
              <w:rPr>
                <w:sz w:val="1"/>
                <w:szCs w:val="1"/>
                <w:color w:val="auto"/>
              </w:rPr>
            </w:pPr>
          </w:p>
        </w:tc>
      </w:tr>
      <w:tr>
        <w:trPr>
          <w:trHeight w:val="245"/>
        </w:trPr>
        <w:tc>
          <w:tcPr>
            <w:tcW w:w="5480" w:type="dxa"/>
            <w:vAlign w:val="bottom"/>
            <w:vMerge w:val="restart"/>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18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168"/>
        </w:trPr>
        <w:tc>
          <w:tcPr>
            <w:tcW w:w="548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5480" w:type="dxa"/>
            <w:vAlign w:val="bottom"/>
          </w:tcPr>
          <w:p>
            <w:pPr>
              <w:ind w:left="280"/>
              <w:spacing w:after="0"/>
              <w:rPr>
                <w:sz w:val="20"/>
                <w:szCs w:val="20"/>
                <w:color w:val="auto"/>
              </w:rPr>
            </w:pPr>
            <w:r>
              <w:rPr>
                <w:rFonts w:ascii="Courier New" w:cs="Courier New" w:eastAsia="Courier New" w:hAnsi="Courier New"/>
                <w:sz w:val="15"/>
                <w:szCs w:val="15"/>
                <w:color w:val="auto"/>
              </w:rPr>
              <w:t>Cash paid during the period for interest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28,904</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29,852</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18,822</w:t>
            </w:r>
          </w:p>
        </w:tc>
        <w:tc>
          <w:tcPr>
            <w:tcW w:w="260" w:type="dxa"/>
            <w:vAlign w:val="bottom"/>
          </w:tcPr>
          <w:p>
            <w:pPr>
              <w:jc w:val="right"/>
              <w:ind w:right="87"/>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12,739</w:t>
            </w:r>
          </w:p>
        </w:tc>
        <w:tc>
          <w:tcPr>
            <w:tcW w:w="0" w:type="dxa"/>
            <w:vAlign w:val="bottom"/>
          </w:tcPr>
          <w:p>
            <w:pPr>
              <w:spacing w:after="0"/>
              <w:rPr>
                <w:sz w:val="1"/>
                <w:szCs w:val="1"/>
                <w:color w:val="auto"/>
              </w:rPr>
            </w:pPr>
          </w:p>
        </w:tc>
      </w:tr>
      <w:tr>
        <w:trPr>
          <w:trHeight w:val="168"/>
        </w:trPr>
        <w:tc>
          <w:tcPr>
            <w:tcW w:w="548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Equipment acquired under capital lease</w:t>
            </w:r>
          </w:p>
        </w:tc>
        <w:tc>
          <w:tcPr>
            <w:tcW w:w="184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168"/>
        </w:trPr>
        <w:tc>
          <w:tcPr>
            <w:tcW w:w="548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17,040</w:t>
            </w:r>
          </w:p>
        </w:tc>
        <w:tc>
          <w:tcPr>
            <w:tcW w:w="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5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166" w:lineRule="exact"/>
        <w:rPr>
          <w:sz w:val="20"/>
          <w:szCs w:val="20"/>
          <w:color w:val="auto"/>
        </w:rPr>
      </w:pPr>
    </w:p>
    <w:p>
      <w:pPr>
        <w:ind w:left="69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1540"/>
          </w:cols>
          <w:pgMar w:left="220" w:top="766" w:right="139"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INVENTORY MANAGEMENT SYSTEMS,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Financial Statements</w:t>
      </w:r>
    </w:p>
    <w:p>
      <w:pPr>
        <w:spacing w:after="0" w:line="335" w:lineRule="exact"/>
        <w:rPr>
          <w:sz w:val="20"/>
          <w:szCs w:val="20"/>
          <w:color w:val="auto"/>
        </w:rPr>
      </w:pPr>
    </w:p>
    <w:p>
      <w:pPr>
        <w:ind w:left="440" w:hanging="430"/>
        <w:spacing w:after="0"/>
        <w:tabs>
          <w:tab w:leader="none" w:pos="4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w:t>
      </w:r>
    </w:p>
    <w:p>
      <w:pPr>
        <w:spacing w:after="0" w:line="166" w:lineRule="exact"/>
        <w:rPr>
          <w:rFonts w:ascii="Courier New" w:cs="Courier New" w:eastAsia="Courier New" w:hAnsi="Courier New"/>
          <w:sz w:val="15"/>
          <w:szCs w:val="15"/>
          <w:color w:val="auto"/>
        </w:rPr>
      </w:pPr>
    </w:p>
    <w:p>
      <w:pPr>
        <w:jc w:val="both"/>
        <w:ind w:left="440" w:right="3239"/>
        <w:spacing w:after="0" w:line="26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Inventory Management Systems Corporation (the "Company") was incorporated in the state of Virginia on February 24, 1992 as a subchapter S corporation. The Company is engaged in the wholesale distribution of entertainment software for personal computers and video game console platforms primarily in the United States.</w:t>
      </w:r>
    </w:p>
    <w:p>
      <w:pPr>
        <w:spacing w:after="0" w:line="74" w:lineRule="exact"/>
        <w:rPr>
          <w:rFonts w:ascii="Courier New" w:cs="Courier New" w:eastAsia="Courier New" w:hAnsi="Courier New"/>
          <w:sz w:val="15"/>
          <w:szCs w:val="15"/>
          <w:color w:val="auto"/>
        </w:rPr>
      </w:pPr>
    </w:p>
    <w:p>
      <w:pPr>
        <w:jc w:val="both"/>
        <w:ind w:left="440" w:right="3239"/>
        <w:spacing w:after="0" w:line="28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On July 30, 1997 the Company was merged with and into Take-Two Interactive Software, Inc. ("Take-Two"). Under the terms of the merger agreement, 18,750 shares of Take-Two common stock were exchanged for each share of the Company. In connection with this merger, 750,000 shares of Take-Two common stock were exchanged for all of the outstanding stock of the Company.</w:t>
      </w:r>
    </w:p>
    <w:p>
      <w:pPr>
        <w:spacing w:after="0" w:line="397" w:lineRule="exact"/>
        <w:rPr>
          <w:rFonts w:ascii="Courier New" w:cs="Courier New" w:eastAsia="Courier New" w:hAnsi="Courier New"/>
          <w:sz w:val="15"/>
          <w:szCs w:val="15"/>
          <w:color w:val="auto"/>
        </w:rPr>
      </w:pPr>
    </w:p>
    <w:p>
      <w:pPr>
        <w:ind w:left="440" w:right="6999" w:hanging="430"/>
        <w:spacing w:after="0" w:line="509" w:lineRule="auto"/>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Significant Accounting Policies: Risks and Uncertainties</w:t>
      </w:r>
    </w:p>
    <w:p>
      <w:pPr>
        <w:jc w:val="both"/>
        <w:ind w:left="440" w:right="3239"/>
        <w:spacing w:after="0" w:line="252"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most significant estimates relate to the collectibility of accounts receivable and the valuation of inventory. Actual results could differ from these estimates.</w:t>
      </w:r>
    </w:p>
    <w:p>
      <w:pPr>
        <w:spacing w:after="0" w:line="86"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Concentration of Credit Risk</w:t>
      </w:r>
    </w:p>
    <w:p>
      <w:pPr>
        <w:spacing w:after="0" w:line="166" w:lineRule="exact"/>
        <w:rPr>
          <w:rFonts w:ascii="Courier New" w:cs="Courier New" w:eastAsia="Courier New" w:hAnsi="Courier New"/>
          <w:sz w:val="14"/>
          <w:szCs w:val="14"/>
          <w:color w:val="auto"/>
        </w:rPr>
      </w:pPr>
    </w:p>
    <w:p>
      <w:pPr>
        <w:ind w:left="440" w:right="3239"/>
        <w:spacing w:after="0" w:line="34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Cash balances are maintained with one financial institution and may, at times, exceed insurable amounts.</w:t>
      </w:r>
    </w:p>
    <w:p>
      <w:pPr>
        <w:spacing w:after="0" w:line="1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Revenue Recognition</w:t>
      </w:r>
    </w:p>
    <w:p>
      <w:pPr>
        <w:spacing w:after="0" w:line="166" w:lineRule="exact"/>
        <w:rPr>
          <w:rFonts w:ascii="Courier New" w:cs="Courier New" w:eastAsia="Courier New" w:hAnsi="Courier New"/>
          <w:sz w:val="14"/>
          <w:szCs w:val="14"/>
          <w:color w:val="auto"/>
        </w:rPr>
      </w:pPr>
    </w:p>
    <w:p>
      <w:pPr>
        <w:jc w:val="both"/>
        <w:ind w:left="440" w:right="3239"/>
        <w:spacing w:after="0" w:line="29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Revenue from the sale of multiple copies of software products is recognized upon shipment to retailers. An allowance for returns is determined based upon the higher of historical patterns or negotiated terms. Advance payments are deferred and recognized as income when earned.</w:t>
      </w:r>
    </w:p>
    <w:p>
      <w:pPr>
        <w:spacing w:after="0" w:line="53"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Inventory</w:t>
      </w:r>
    </w:p>
    <w:p>
      <w:pPr>
        <w:spacing w:after="0" w:line="166" w:lineRule="exact"/>
        <w:rPr>
          <w:sz w:val="20"/>
          <w:szCs w:val="20"/>
          <w:color w:val="auto"/>
        </w:rPr>
      </w:pPr>
    </w:p>
    <w:p>
      <w:pPr>
        <w:jc w:val="both"/>
        <w:ind w:left="440" w:right="3239"/>
        <w:spacing w:after="0" w:line="320" w:lineRule="auto"/>
        <w:rPr>
          <w:sz w:val="20"/>
          <w:szCs w:val="20"/>
          <w:color w:val="auto"/>
        </w:rPr>
      </w:pPr>
      <w:r>
        <w:rPr>
          <w:rFonts w:ascii="Courier New" w:cs="Courier New" w:eastAsia="Courier New" w:hAnsi="Courier New"/>
          <w:sz w:val="14"/>
          <w:szCs w:val="14"/>
          <w:color w:val="auto"/>
        </w:rPr>
        <w:t>Inventories are stated at the lower of cost (first-in, first-out method) or market. Inventories consist of finished products totaling $84,932 and $76,125 (unaudited) at October 31, 1996 and April 30, 1997, respectively.</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Continued</w:t>
      </w:r>
    </w:p>
    <w:p>
      <w:pPr>
        <w:spacing w:after="0" w:line="24"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766"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INVENTORY MANAGEMENT SYSTEMS,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Financial Statements, Continued</w:t>
      </w:r>
    </w:p>
    <w:p>
      <w:pPr>
        <w:spacing w:after="0" w:line="166" w:lineRule="exact"/>
        <w:rPr>
          <w:sz w:val="20"/>
          <w:szCs w:val="20"/>
          <w:color w:val="auto"/>
        </w:rPr>
      </w:pPr>
    </w:p>
    <w:p>
      <w:pPr>
        <w:ind w:left="440" w:right="6119" w:hanging="430"/>
        <w:spacing w:after="0" w:line="475" w:lineRule="auto"/>
        <w:tabs>
          <w:tab w:leader="none" w:pos="4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Accounting Policies, Continued Fixed Assets</w:t>
      </w:r>
    </w:p>
    <w:p>
      <w:pPr>
        <w:jc w:val="both"/>
        <w:ind w:left="44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Depreciation of computer equipment and furniture and fixtures is provided for under the straight-line method over their estimated useful lives of three and five years. The cost of additions and betterments is capitalized, and repairs and maintenance costs are charged to operations in the periods incurred. When depreciable assets are retired or sold, the cost and related allowances for depreciation are removed from the accounts and the resulting gain or loss is recognized.</w:t>
      </w:r>
    </w:p>
    <w:p>
      <w:pPr>
        <w:spacing w:after="0" w:line="81"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Advertising</w:t>
      </w:r>
    </w:p>
    <w:p>
      <w:pPr>
        <w:spacing w:after="0" w:line="166" w:lineRule="exact"/>
        <w:rPr>
          <w:rFonts w:ascii="Courier New" w:cs="Courier New" w:eastAsia="Courier New" w:hAnsi="Courier New"/>
          <w:sz w:val="15"/>
          <w:szCs w:val="15"/>
          <w:color w:val="auto"/>
        </w:rPr>
      </w:pPr>
    </w:p>
    <w:p>
      <w:pPr>
        <w:jc w:val="both"/>
        <w:ind w:left="440" w:right="3239"/>
        <w:spacing w:after="0" w:line="27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expenses advertising costs as incurred. Advertising expense for the years ended October 31, 1995 and 1996 and the six months ended April 30, 1996 and 1997 amounted to $0, $3,523, $23 (unaudited) and $15,000 (unaudited), respectively.</w:t>
      </w:r>
    </w:p>
    <w:p>
      <w:pPr>
        <w:spacing w:after="0" w:line="67"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Recently Issued  Pronouncements</w:t>
      </w:r>
    </w:p>
    <w:p>
      <w:pPr>
        <w:spacing w:after="0" w:line="166" w:lineRule="exact"/>
        <w:rPr>
          <w:rFonts w:ascii="Courier New" w:cs="Courier New" w:eastAsia="Courier New" w:hAnsi="Courier New"/>
          <w:sz w:val="15"/>
          <w:szCs w:val="15"/>
          <w:color w:val="auto"/>
        </w:rPr>
      </w:pPr>
    </w:p>
    <w:p>
      <w:pPr>
        <w:jc w:val="both"/>
        <w:ind w:left="440" w:right="3239"/>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January 1, 1996, the Company adopted the provisions of SFAS No. 121, "Accounting for the Impairment of Long-Lived Assets and for Long-Lived Assets to be Disposed of", which was issued by the FASB in March 1995. This statement requires that long-lived assets and certain identifiable intangibles held and used by an entity be reviewed for impairment whenever events or changes in circumstances indicate that the carrying amount of an asset may not be recoverable. There was no effect upon adoption to the Company's results of operations or cash flows.</w:t>
      </w:r>
    </w:p>
    <w:p>
      <w:pPr>
        <w:spacing w:after="0" w:line="8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Interim Financial Statements (Unaudited)</w:t>
      </w:r>
    </w:p>
    <w:p>
      <w:pPr>
        <w:spacing w:after="0" w:line="166" w:lineRule="exact"/>
        <w:rPr>
          <w:rFonts w:ascii="Courier New" w:cs="Courier New" w:eastAsia="Courier New" w:hAnsi="Courier New"/>
          <w:sz w:val="15"/>
          <w:szCs w:val="15"/>
          <w:color w:val="auto"/>
        </w:rPr>
      </w:pPr>
    </w:p>
    <w:p>
      <w:pPr>
        <w:jc w:val="both"/>
        <w:ind w:left="880" w:right="3239" w:hanging="433"/>
        <w:spacing w:after="0" w:line="258" w:lineRule="auto"/>
        <w:tabs>
          <w:tab w:leader="none" w:pos="88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 - The interim unaudited financial statements reflect adjustments, consisting only of normal recurring accruals, which are, in the opinion of the Company's management, necessary for a fair presentation of the results of operations for the periods presented. Revenues and net loss for any interim period are not necessarily indicative of the results for a full year.</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Continued</w:t>
      </w:r>
    </w:p>
    <w:p>
      <w:pPr>
        <w:spacing w:after="0" w:line="24"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766"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INVENTORY MANAGEMENT SYSTEMS,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Financial Statements, Continued</w:t>
      </w:r>
    </w:p>
    <w:p>
      <w:pPr>
        <w:spacing w:after="0" w:line="166" w:lineRule="exact"/>
        <w:rPr>
          <w:sz w:val="20"/>
          <w:szCs w:val="20"/>
          <w:color w:val="auto"/>
        </w:rPr>
      </w:pPr>
    </w:p>
    <w:p>
      <w:pPr>
        <w:ind w:left="440" w:hanging="430"/>
        <w:spacing w:after="0"/>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Fixed Assets:</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Fixed assets consist of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80" w:type="dxa"/>
            <w:vAlign w:val="bottom"/>
          </w:tcPr>
          <w:p>
            <w:pPr>
              <w:spacing w:after="0"/>
              <w:rPr>
                <w:sz w:val="14"/>
                <w:szCs w:val="14"/>
                <w:color w:val="auto"/>
              </w:rPr>
            </w:pPr>
          </w:p>
        </w:tc>
        <w:tc>
          <w:tcPr>
            <w:tcW w:w="1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October 31,</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April 30,</w:t>
            </w:r>
          </w:p>
        </w:tc>
        <w:tc>
          <w:tcPr>
            <w:tcW w:w="0" w:type="dxa"/>
            <w:vAlign w:val="bottom"/>
          </w:tcPr>
          <w:p>
            <w:pPr>
              <w:spacing w:after="0"/>
              <w:rPr>
                <w:sz w:val="1"/>
                <w:szCs w:val="1"/>
                <w:color w:val="auto"/>
              </w:rPr>
            </w:pPr>
          </w:p>
        </w:tc>
      </w:tr>
      <w:tr>
        <w:trPr>
          <w:trHeight w:val="168"/>
        </w:trPr>
        <w:tc>
          <w:tcPr>
            <w:tcW w:w="3980" w:type="dxa"/>
            <w:vAlign w:val="bottom"/>
          </w:tcPr>
          <w:p>
            <w:pPr>
              <w:spacing w:after="0"/>
              <w:rPr>
                <w:sz w:val="14"/>
                <w:szCs w:val="14"/>
                <w:color w:val="auto"/>
              </w:rPr>
            </w:pPr>
          </w:p>
        </w:tc>
        <w:tc>
          <w:tcPr>
            <w:tcW w:w="18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1996</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168"/>
        </w:trPr>
        <w:tc>
          <w:tcPr>
            <w:tcW w:w="3980" w:type="dxa"/>
            <w:vAlign w:val="bottom"/>
          </w:tcPr>
          <w:p>
            <w:pPr>
              <w:spacing w:after="0"/>
              <w:rPr>
                <w:sz w:val="14"/>
                <w:szCs w:val="14"/>
                <w:color w:val="auto"/>
              </w:rPr>
            </w:pPr>
          </w:p>
        </w:tc>
        <w:tc>
          <w:tcPr>
            <w:tcW w:w="1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39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(Unaudited)</w:t>
            </w:r>
          </w:p>
        </w:tc>
        <w:tc>
          <w:tcPr>
            <w:tcW w:w="0" w:type="dxa"/>
            <w:vAlign w:val="bottom"/>
          </w:tcPr>
          <w:p>
            <w:pPr>
              <w:spacing w:after="0"/>
              <w:rPr>
                <w:sz w:val="1"/>
                <w:szCs w:val="1"/>
                <w:color w:val="auto"/>
              </w:rPr>
            </w:pPr>
          </w:p>
        </w:tc>
      </w:tr>
      <w:tr>
        <w:trPr>
          <w:trHeight w:val="259"/>
        </w:trPr>
        <w:tc>
          <w:tcPr>
            <w:tcW w:w="3980" w:type="dxa"/>
            <w:vAlign w:val="bottom"/>
          </w:tcPr>
          <w:p>
            <w:pPr>
              <w:spacing w:after="0"/>
              <w:rPr>
                <w:sz w:val="20"/>
                <w:szCs w:val="20"/>
                <w:color w:val="auto"/>
              </w:rPr>
            </w:pPr>
            <w:r>
              <w:rPr>
                <w:rFonts w:ascii="Courier New" w:cs="Courier New" w:eastAsia="Courier New" w:hAnsi="Courier New"/>
                <w:sz w:val="15"/>
                <w:szCs w:val="15"/>
                <w:color w:val="auto"/>
              </w:rPr>
              <w:t>Vehicle</w:t>
            </w:r>
          </w:p>
        </w:tc>
        <w:tc>
          <w:tcPr>
            <w:tcW w:w="18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$ 67,221</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$ 20,221</w:t>
            </w:r>
          </w:p>
        </w:tc>
        <w:tc>
          <w:tcPr>
            <w:tcW w:w="0" w:type="dxa"/>
            <w:vAlign w:val="bottom"/>
          </w:tcPr>
          <w:p>
            <w:pPr>
              <w:spacing w:after="0"/>
              <w:rPr>
                <w:sz w:val="1"/>
                <w:szCs w:val="1"/>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Equipment</w:t>
            </w:r>
          </w:p>
        </w:tc>
        <w:tc>
          <w:tcPr>
            <w:tcW w:w="18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28,226</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32,502</w:t>
            </w:r>
          </w:p>
        </w:tc>
        <w:tc>
          <w:tcPr>
            <w:tcW w:w="0" w:type="dxa"/>
            <w:vAlign w:val="bottom"/>
          </w:tcPr>
          <w:p>
            <w:pPr>
              <w:spacing w:after="0"/>
              <w:rPr>
                <w:sz w:val="1"/>
                <w:szCs w:val="1"/>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Furniture and fixtures</w:t>
            </w:r>
          </w:p>
        </w:tc>
        <w:tc>
          <w:tcPr>
            <w:tcW w:w="18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7,899</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7,899</w:t>
            </w:r>
          </w:p>
        </w:tc>
        <w:tc>
          <w:tcPr>
            <w:tcW w:w="0" w:type="dxa"/>
            <w:vAlign w:val="bottom"/>
          </w:tcPr>
          <w:p>
            <w:pPr>
              <w:spacing w:after="0"/>
              <w:rPr>
                <w:sz w:val="1"/>
                <w:szCs w:val="1"/>
                <w:color w:val="auto"/>
              </w:rPr>
            </w:pPr>
          </w:p>
        </w:tc>
      </w:tr>
      <w:tr>
        <w:trPr>
          <w:trHeight w:val="168"/>
        </w:trPr>
        <w:tc>
          <w:tcPr>
            <w:tcW w:w="3980" w:type="dxa"/>
            <w:vAlign w:val="bottom"/>
          </w:tcPr>
          <w:p>
            <w:pPr>
              <w:spacing w:after="0"/>
              <w:rPr>
                <w:sz w:val="14"/>
                <w:szCs w:val="14"/>
                <w:color w:val="auto"/>
              </w:rPr>
            </w:pPr>
          </w:p>
        </w:tc>
        <w:tc>
          <w:tcPr>
            <w:tcW w:w="18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398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Less, Accumulated depreciation and</w:t>
            </w:r>
          </w:p>
        </w:tc>
        <w:tc>
          <w:tcPr>
            <w:tcW w:w="18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103,346</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60,622</w:t>
            </w:r>
          </w:p>
        </w:tc>
        <w:tc>
          <w:tcPr>
            <w:tcW w:w="0" w:type="dxa"/>
            <w:vAlign w:val="bottom"/>
          </w:tcPr>
          <w:p>
            <w:pPr>
              <w:spacing w:after="0"/>
              <w:rPr>
                <w:sz w:val="1"/>
                <w:szCs w:val="1"/>
                <w:color w:val="auto"/>
              </w:rPr>
            </w:pPr>
          </w:p>
        </w:tc>
      </w:tr>
      <w:tr>
        <w:trPr>
          <w:trHeight w:val="91"/>
        </w:trPr>
        <w:tc>
          <w:tcPr>
            <w:tcW w:w="3980" w:type="dxa"/>
            <w:vAlign w:val="bottom"/>
            <w:vMerge w:val="continue"/>
          </w:tcPr>
          <w:p>
            <w:pPr>
              <w:spacing w:after="0"/>
              <w:rPr>
                <w:sz w:val="7"/>
                <w:szCs w:val="7"/>
                <w:color w:val="auto"/>
              </w:rPr>
            </w:pPr>
          </w:p>
        </w:tc>
        <w:tc>
          <w:tcPr>
            <w:tcW w:w="1880" w:type="dxa"/>
            <w:vAlign w:val="bottom"/>
            <w:vMerge w:val="restart"/>
          </w:tcPr>
          <w:p>
            <w:pPr>
              <w:jc w:val="right"/>
              <w:ind w:right="347"/>
              <w:spacing w:after="0"/>
              <w:rPr>
                <w:sz w:val="20"/>
                <w:szCs w:val="20"/>
                <w:color w:val="auto"/>
              </w:rPr>
            </w:pPr>
            <w:r>
              <w:rPr>
                <w:rFonts w:ascii="Courier New" w:cs="Courier New" w:eastAsia="Courier New" w:hAnsi="Courier New"/>
                <w:sz w:val="15"/>
                <w:szCs w:val="15"/>
                <w:color w:val="auto"/>
              </w:rPr>
              <w:t>33,926</w:t>
            </w:r>
          </w:p>
        </w:tc>
        <w:tc>
          <w:tcPr>
            <w:tcW w:w="11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24,599</w:t>
            </w:r>
          </w:p>
        </w:tc>
        <w:tc>
          <w:tcPr>
            <w:tcW w:w="0" w:type="dxa"/>
            <w:vAlign w:val="bottom"/>
          </w:tcPr>
          <w:p>
            <w:pPr>
              <w:spacing w:after="0"/>
              <w:rPr>
                <w:sz w:val="1"/>
                <w:szCs w:val="1"/>
                <w:color w:val="auto"/>
              </w:rPr>
            </w:pPr>
          </w:p>
        </w:tc>
      </w:tr>
      <w:tr>
        <w:trPr>
          <w:trHeight w:val="168"/>
        </w:trPr>
        <w:tc>
          <w:tcPr>
            <w:tcW w:w="39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amortization</w:t>
            </w:r>
          </w:p>
        </w:tc>
        <w:tc>
          <w:tcPr>
            <w:tcW w:w="188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980" w:type="dxa"/>
            <w:vAlign w:val="bottom"/>
          </w:tcPr>
          <w:p>
            <w:pPr>
              <w:spacing w:after="0"/>
              <w:rPr>
                <w:sz w:val="21"/>
                <w:szCs w:val="21"/>
                <w:color w:val="auto"/>
              </w:rPr>
            </w:pPr>
          </w:p>
        </w:tc>
        <w:tc>
          <w:tcPr>
            <w:tcW w:w="18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980" w:type="dxa"/>
            <w:vAlign w:val="bottom"/>
          </w:tcPr>
          <w:p>
            <w:pPr>
              <w:spacing w:after="0"/>
              <w:rPr>
                <w:sz w:val="22"/>
                <w:szCs w:val="22"/>
                <w:color w:val="auto"/>
              </w:rPr>
            </w:pPr>
          </w:p>
        </w:tc>
        <w:tc>
          <w:tcPr>
            <w:tcW w:w="18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$ 69,420</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$ 36,023</w:t>
            </w:r>
          </w:p>
        </w:tc>
        <w:tc>
          <w:tcPr>
            <w:tcW w:w="0" w:type="dxa"/>
            <w:vAlign w:val="bottom"/>
          </w:tcPr>
          <w:p>
            <w:pPr>
              <w:spacing w:after="0"/>
              <w:rPr>
                <w:sz w:val="1"/>
                <w:szCs w:val="1"/>
                <w:color w:val="auto"/>
              </w:rPr>
            </w:pPr>
          </w:p>
        </w:tc>
      </w:tr>
      <w:tr>
        <w:trPr>
          <w:trHeight w:val="245"/>
        </w:trPr>
        <w:tc>
          <w:tcPr>
            <w:tcW w:w="3980" w:type="dxa"/>
            <w:vAlign w:val="bottom"/>
          </w:tcPr>
          <w:p>
            <w:pPr>
              <w:spacing w:after="0"/>
              <w:rPr>
                <w:sz w:val="21"/>
                <w:szCs w:val="21"/>
                <w:color w:val="auto"/>
              </w:rPr>
            </w:pPr>
          </w:p>
        </w:tc>
        <w:tc>
          <w:tcPr>
            <w:tcW w:w="18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1" w:lineRule="exact"/>
        <w:rPr>
          <w:sz w:val="20"/>
          <w:szCs w:val="20"/>
          <w:color w:val="auto"/>
        </w:rPr>
      </w:pPr>
    </w:p>
    <w:p>
      <w:pPr>
        <w:jc w:val="both"/>
        <w:ind w:left="440" w:right="3239"/>
        <w:spacing w:after="0" w:line="290" w:lineRule="auto"/>
        <w:rPr>
          <w:sz w:val="20"/>
          <w:szCs w:val="20"/>
          <w:color w:val="auto"/>
        </w:rPr>
      </w:pPr>
      <w:r>
        <w:rPr>
          <w:rFonts w:ascii="Courier New" w:cs="Courier New" w:eastAsia="Courier New" w:hAnsi="Courier New"/>
          <w:sz w:val="15"/>
          <w:szCs w:val="15"/>
          <w:color w:val="auto"/>
        </w:rPr>
        <w:t>Depreciation expense for the years ended October 31, 1995 and 1996 and the six months ended April 30, 1996 and 1997 amounted to $10,041, $17,052, $8,526 (unaudited) and $4,773 (unaudited), respectively.</w:t>
      </w:r>
    </w:p>
    <w:p>
      <w:pPr>
        <w:spacing w:after="0" w:line="57" w:lineRule="exact"/>
        <w:rPr>
          <w:sz w:val="20"/>
          <w:szCs w:val="20"/>
          <w:color w:val="auto"/>
        </w:rPr>
      </w:pPr>
    </w:p>
    <w:p>
      <w:pPr>
        <w:ind w:left="440" w:hanging="430"/>
        <w:spacing w:after="0"/>
        <w:tabs>
          <w:tab w:leader="none" w:pos="4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w:t>
      </w:r>
    </w:p>
    <w:p>
      <w:pPr>
        <w:spacing w:after="0" w:line="166" w:lineRule="exact"/>
        <w:rPr>
          <w:rFonts w:ascii="Courier New" w:cs="Courier New" w:eastAsia="Courier New" w:hAnsi="Courier New"/>
          <w:sz w:val="15"/>
          <w:szCs w:val="15"/>
          <w:color w:val="auto"/>
        </w:rPr>
      </w:pPr>
    </w:p>
    <w:p>
      <w:pPr>
        <w:ind w:left="440" w:right="3239"/>
        <w:spacing w:after="0" w:line="3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 of October 31, 1996 there were 5,000 shares of no par value common stock authorized and 40 shares issued and outstanding.</w:t>
      </w:r>
    </w:p>
    <w:p>
      <w:pPr>
        <w:spacing w:after="0" w:line="17"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Party Transaction:</w:t>
      </w:r>
    </w:p>
    <w:p>
      <w:pPr>
        <w:spacing w:after="0" w:line="166" w:lineRule="exact"/>
        <w:rPr>
          <w:rFonts w:ascii="Courier New" w:cs="Courier New" w:eastAsia="Courier New" w:hAnsi="Courier New"/>
          <w:sz w:val="15"/>
          <w:szCs w:val="15"/>
          <w:color w:val="auto"/>
        </w:rPr>
      </w:pPr>
    </w:p>
    <w:p>
      <w:pPr>
        <w:jc w:val="both"/>
        <w:ind w:left="440" w:right="3239"/>
        <w:spacing w:after="0" w:line="27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years ended October 31, 1995 and 1996, the Company paid sales commissions of $4,590 and $33,000, respectively, to a related party. As of October 31, 1996, there was $113,000 due from this related party relating to advances. These advances have no repayment terms.</w:t>
      </w:r>
    </w:p>
    <w:p>
      <w:pPr>
        <w:spacing w:after="0" w:line="67" w:lineRule="exact"/>
        <w:rPr>
          <w:rFonts w:ascii="Courier New" w:cs="Courier New" w:eastAsia="Courier New" w:hAnsi="Courier New"/>
          <w:sz w:val="15"/>
          <w:szCs w:val="15"/>
          <w:color w:val="auto"/>
        </w:rPr>
      </w:pPr>
    </w:p>
    <w:p>
      <w:pPr>
        <w:jc w:val="both"/>
        <w:ind w:left="440" w:right="3239"/>
        <w:spacing w:after="0" w:line="32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corporate headquarters of the Company is under a month to month lease with a related party. Rent expense under this lease amounted to $5,500 and $12,000 for the years ended October 31, 1995 and 1996, respectively.</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Continued</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598"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INVENTORY MANAGEMENT SYSTEMS,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Financial Statements, Continued</w:t>
      </w:r>
    </w:p>
    <w:p>
      <w:pPr>
        <w:spacing w:after="0" w:line="166" w:lineRule="exact"/>
        <w:rPr>
          <w:sz w:val="20"/>
          <w:szCs w:val="20"/>
          <w:color w:val="auto"/>
        </w:rPr>
      </w:pPr>
    </w:p>
    <w:p>
      <w:pPr>
        <w:ind w:left="440" w:hanging="430"/>
        <w:spacing w:after="0"/>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Line of Credit:</w:t>
      </w:r>
    </w:p>
    <w:p>
      <w:pPr>
        <w:spacing w:after="0" w:line="166" w:lineRule="exact"/>
        <w:rPr>
          <w:rFonts w:ascii="Courier New" w:cs="Courier New" w:eastAsia="Courier New" w:hAnsi="Courier New"/>
          <w:sz w:val="15"/>
          <w:szCs w:val="15"/>
          <w:color w:val="auto"/>
        </w:rPr>
      </w:pPr>
    </w:p>
    <w:p>
      <w:pPr>
        <w:jc w:val="both"/>
        <w:ind w:left="440" w:right="3239"/>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February 1995, the Company entered into a line of credit agreement with Crestar Bank with a credit limit of $500,000, bearing interest at prime rate plus 1/2% per year (9.25% and 8.75% at October 31, 1995 and 1996, respectively). Monthly accrued interest is due on the first day of the following month, and is automatically added to the outstanding balance of the line of credit. In February 1997, the Company renewed the line of credit agreement with Crestar Bank, its credit limit was reduced to $250,000, and bears interest at prime rate plus 1/2% per year.</w:t>
      </w:r>
    </w:p>
    <w:p>
      <w:pPr>
        <w:spacing w:after="0" w:line="8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Concentration of Risk:</w:t>
      </w:r>
    </w:p>
    <w:p>
      <w:pPr>
        <w:spacing w:after="0" w:line="166" w:lineRule="exact"/>
        <w:rPr>
          <w:rFonts w:ascii="Courier New" w:cs="Courier New" w:eastAsia="Courier New" w:hAnsi="Courier New"/>
          <w:sz w:val="15"/>
          <w:szCs w:val="15"/>
          <w:color w:val="auto"/>
        </w:rPr>
      </w:pPr>
    </w:p>
    <w:p>
      <w:pPr>
        <w:ind w:left="440" w:right="3239"/>
        <w:spacing w:after="0" w:line="3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the year ended October 31, 1996 and 1995, the Company recorded net sales of 21% and 61% from its largest customer.</w:t>
      </w:r>
    </w:p>
    <w:p>
      <w:pPr>
        <w:spacing w:after="0" w:line="17" w:lineRule="exact"/>
        <w:rPr>
          <w:rFonts w:ascii="Courier New" w:cs="Courier New" w:eastAsia="Courier New" w:hAnsi="Courier New"/>
          <w:sz w:val="15"/>
          <w:szCs w:val="15"/>
          <w:color w:val="auto"/>
        </w:rPr>
      </w:pPr>
    </w:p>
    <w:p>
      <w:pPr>
        <w:ind w:left="440" w:right="3239"/>
        <w:spacing w:after="0" w:line="3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the years ended October 31, 1996 and 1995, the Company purchased 52% and 83%, respectively, of products sold, from its main supplier.</w:t>
      </w:r>
    </w:p>
    <w:p>
      <w:pPr>
        <w:spacing w:after="0" w:line="1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598" w:right="1440" w:bottom="1440" w:gutter="0" w:footer="0" w:header="0"/>
        </w:sectPr>
      </w:pPr>
    </w:p>
    <w:bookmarkStart w:id="11" w:name="page12"/>
    <w:bookmarkEnd w:id="11"/>
    <w:p>
      <w:pPr>
        <w:ind w:left="2020"/>
        <w:spacing w:after="0"/>
        <w:rPr>
          <w:sz w:val="20"/>
          <w:szCs w:val="20"/>
          <w:color w:val="auto"/>
        </w:rPr>
      </w:pPr>
      <w:r>
        <w:rPr>
          <w:rFonts w:ascii="Courier New" w:cs="Courier New" w:eastAsia="Courier New" w:hAnsi="Courier New"/>
          <w:sz w:val="15"/>
          <w:szCs w:val="15"/>
          <w:color w:val="auto"/>
        </w:rPr>
        <w:t>GAMETEK (UK) LIMITED AND SUBSIDIARY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920" w:type="dxa"/>
            <w:vAlign w:val="bottom"/>
          </w:tcPr>
          <w:p>
            <w:pPr>
              <w:ind w:left="3160"/>
              <w:spacing w:after="0"/>
              <w:rPr>
                <w:sz w:val="20"/>
                <w:szCs w:val="20"/>
                <w:color w:val="auto"/>
              </w:rPr>
            </w:pPr>
            <w:r>
              <w:rPr>
                <w:rFonts w:ascii="Courier New" w:cs="Courier New" w:eastAsia="Courier New" w:hAnsi="Courier New"/>
                <w:sz w:val="15"/>
                <w:szCs w:val="15"/>
                <w:color w:val="auto"/>
              </w:rPr>
              <w:t>CONTENTS</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7"/>
        </w:trPr>
        <w:tc>
          <w:tcPr>
            <w:tcW w:w="79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c>
          <w:tcPr>
            <w:tcW w:w="0" w:type="dxa"/>
            <w:vAlign w:val="bottom"/>
          </w:tcPr>
          <w:p>
            <w:pPr>
              <w:spacing w:after="0"/>
              <w:rPr>
                <w:sz w:val="1"/>
                <w:szCs w:val="1"/>
                <w:color w:val="auto"/>
              </w:rPr>
            </w:pPr>
          </w:p>
        </w:tc>
      </w:tr>
      <w:tr>
        <w:trPr>
          <w:trHeight w:val="245"/>
        </w:trPr>
        <w:tc>
          <w:tcPr>
            <w:tcW w:w="79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7920" w:type="dxa"/>
            <w:vAlign w:val="bottom"/>
          </w:tcPr>
          <w:p>
            <w:pPr>
              <w:spacing w:after="0"/>
              <w:rPr>
                <w:sz w:val="20"/>
                <w:szCs w:val="20"/>
                <w:color w:val="auto"/>
              </w:rPr>
            </w:pPr>
            <w:r>
              <w:rPr>
                <w:rFonts w:ascii="Courier New" w:cs="Courier New" w:eastAsia="Courier New" w:hAnsi="Courier New"/>
                <w:sz w:val="15"/>
                <w:szCs w:val="15"/>
                <w:color w:val="auto"/>
              </w:rPr>
              <w:t>Report of Independent Accountants</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336"/>
        </w:trPr>
        <w:tc>
          <w:tcPr>
            <w:tcW w:w="7920" w:type="dxa"/>
            <w:vAlign w:val="bottom"/>
          </w:tcPr>
          <w:p>
            <w:pPr>
              <w:spacing w:after="0"/>
              <w:rPr>
                <w:sz w:val="20"/>
                <w:szCs w:val="20"/>
                <w:color w:val="auto"/>
              </w:rPr>
            </w:pPr>
            <w:r>
              <w:rPr>
                <w:rFonts w:ascii="Courier New" w:cs="Courier New" w:eastAsia="Courier New" w:hAnsi="Courier New"/>
                <w:sz w:val="15"/>
                <w:szCs w:val="15"/>
                <w:color w:val="auto"/>
              </w:rPr>
              <w:t>Consolidated Balance Sheet as of July 29, 1997</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w:t>
            </w:r>
          </w:p>
        </w:tc>
        <w:tc>
          <w:tcPr>
            <w:tcW w:w="0" w:type="dxa"/>
            <w:vAlign w:val="bottom"/>
          </w:tcPr>
          <w:p>
            <w:pPr>
              <w:spacing w:after="0"/>
              <w:rPr>
                <w:sz w:val="1"/>
                <w:szCs w:val="1"/>
                <w:color w:val="auto"/>
              </w:rPr>
            </w:pPr>
          </w:p>
        </w:tc>
      </w:tr>
      <w:tr>
        <w:trPr>
          <w:trHeight w:val="259"/>
        </w:trPr>
        <w:tc>
          <w:tcPr>
            <w:tcW w:w="7920" w:type="dxa"/>
            <w:vAlign w:val="bottom"/>
          </w:tcPr>
          <w:p>
            <w:pPr>
              <w:spacing w:after="0"/>
              <w:rPr>
                <w:sz w:val="20"/>
                <w:szCs w:val="20"/>
                <w:color w:val="auto"/>
              </w:rPr>
            </w:pPr>
            <w:r>
              <w:rPr>
                <w:rFonts w:ascii="Courier New" w:cs="Courier New" w:eastAsia="Courier New" w:hAnsi="Courier New"/>
                <w:sz w:val="15"/>
                <w:szCs w:val="15"/>
                <w:color w:val="auto"/>
              </w:rPr>
              <w:t>Consolidated Statements of Operations for the year ended July 31, 1996</w:t>
            </w:r>
          </w:p>
        </w:tc>
        <w:tc>
          <w:tcPr>
            <w:tcW w:w="4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w:t>
            </w:r>
          </w:p>
        </w:tc>
        <w:tc>
          <w:tcPr>
            <w:tcW w:w="0" w:type="dxa"/>
            <w:vAlign w:val="bottom"/>
          </w:tcPr>
          <w:p>
            <w:pPr>
              <w:spacing w:after="0"/>
              <w:rPr>
                <w:sz w:val="1"/>
                <w:szCs w:val="1"/>
                <w:color w:val="auto"/>
              </w:rPr>
            </w:pPr>
          </w:p>
        </w:tc>
      </w:tr>
      <w:tr>
        <w:trPr>
          <w:trHeight w:val="245"/>
        </w:trPr>
        <w:tc>
          <w:tcPr>
            <w:tcW w:w="7920" w:type="dxa"/>
            <w:vAlign w:val="bottom"/>
          </w:tcPr>
          <w:p>
            <w:pPr>
              <w:spacing w:after="0"/>
              <w:rPr>
                <w:sz w:val="20"/>
                <w:szCs w:val="20"/>
                <w:color w:val="auto"/>
              </w:rPr>
            </w:pPr>
            <w:r>
              <w:rPr>
                <w:rFonts w:ascii="Courier New" w:cs="Courier New" w:eastAsia="Courier New" w:hAnsi="Courier New"/>
                <w:sz w:val="15"/>
                <w:szCs w:val="15"/>
                <w:color w:val="auto"/>
              </w:rPr>
              <w:t>and the period ended July 29, 1997</w:t>
            </w:r>
          </w:p>
        </w:tc>
        <w:tc>
          <w:tcPr>
            <w:tcW w:w="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7920" w:type="dxa"/>
            <w:vAlign w:val="bottom"/>
          </w:tcPr>
          <w:p>
            <w:pPr>
              <w:spacing w:after="0"/>
              <w:rPr>
                <w:sz w:val="20"/>
                <w:szCs w:val="20"/>
                <w:color w:val="auto"/>
              </w:rPr>
            </w:pPr>
            <w:r>
              <w:rPr>
                <w:rFonts w:ascii="Courier New" w:cs="Courier New" w:eastAsia="Courier New" w:hAnsi="Courier New"/>
                <w:sz w:val="15"/>
                <w:szCs w:val="15"/>
                <w:color w:val="auto"/>
                <w:w w:val="97"/>
              </w:rPr>
              <w:t>Consolidated Statements of Stockholders' Equity (Deficit) for the year ended July 31, 1996</w:t>
            </w:r>
          </w:p>
        </w:tc>
        <w:tc>
          <w:tcPr>
            <w:tcW w:w="4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245"/>
        </w:trPr>
        <w:tc>
          <w:tcPr>
            <w:tcW w:w="7920" w:type="dxa"/>
            <w:vAlign w:val="bottom"/>
          </w:tcPr>
          <w:p>
            <w:pPr>
              <w:spacing w:after="0"/>
              <w:rPr>
                <w:sz w:val="20"/>
                <w:szCs w:val="20"/>
                <w:color w:val="auto"/>
              </w:rPr>
            </w:pPr>
            <w:r>
              <w:rPr>
                <w:rFonts w:ascii="Courier New" w:cs="Courier New" w:eastAsia="Courier New" w:hAnsi="Courier New"/>
                <w:sz w:val="15"/>
                <w:szCs w:val="15"/>
                <w:color w:val="auto"/>
              </w:rPr>
              <w:t>and the period ended July 29, 1997</w:t>
            </w:r>
          </w:p>
        </w:tc>
        <w:tc>
          <w:tcPr>
            <w:tcW w:w="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7920" w:type="dxa"/>
            <w:vAlign w:val="bottom"/>
          </w:tcPr>
          <w:p>
            <w:pPr>
              <w:spacing w:after="0"/>
              <w:rPr>
                <w:sz w:val="20"/>
                <w:szCs w:val="20"/>
                <w:color w:val="auto"/>
              </w:rPr>
            </w:pPr>
            <w:r>
              <w:rPr>
                <w:rFonts w:ascii="Courier New" w:cs="Courier New" w:eastAsia="Courier New" w:hAnsi="Courier New"/>
                <w:sz w:val="15"/>
                <w:szCs w:val="15"/>
                <w:color w:val="auto"/>
              </w:rPr>
              <w:t>Consolidated Statements of Cash Flows for the year ended July 31, 1996 and</w:t>
            </w:r>
          </w:p>
        </w:tc>
        <w:tc>
          <w:tcPr>
            <w:tcW w:w="4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r>
        <w:trPr>
          <w:trHeight w:val="245"/>
        </w:trPr>
        <w:tc>
          <w:tcPr>
            <w:tcW w:w="7920" w:type="dxa"/>
            <w:vAlign w:val="bottom"/>
          </w:tcPr>
          <w:p>
            <w:pPr>
              <w:spacing w:after="0"/>
              <w:rPr>
                <w:sz w:val="20"/>
                <w:szCs w:val="20"/>
                <w:color w:val="auto"/>
              </w:rPr>
            </w:pPr>
            <w:r>
              <w:rPr>
                <w:rFonts w:ascii="Courier New" w:cs="Courier New" w:eastAsia="Courier New" w:hAnsi="Courier New"/>
                <w:sz w:val="15"/>
                <w:szCs w:val="15"/>
                <w:color w:val="auto"/>
              </w:rPr>
              <w:t>the period ended July 29, 1997</w:t>
            </w:r>
          </w:p>
        </w:tc>
        <w:tc>
          <w:tcPr>
            <w:tcW w:w="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7920" w:type="dxa"/>
            <w:vAlign w:val="bottom"/>
          </w:tcPr>
          <w:p>
            <w:pPr>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w:t>
            </w:r>
          </w:p>
        </w:tc>
        <w:tc>
          <w:tcPr>
            <w:tcW w:w="0" w:type="dxa"/>
            <w:vAlign w:val="bottom"/>
          </w:tcPr>
          <w:p>
            <w:pPr>
              <w:spacing w:after="0"/>
              <w:rPr>
                <w:sz w:val="1"/>
                <w:szCs w:val="1"/>
                <w:color w:val="auto"/>
              </w:rPr>
            </w:pPr>
          </w:p>
        </w:tc>
      </w:tr>
    </w:tbl>
    <w:p>
      <w:pPr>
        <w:sectPr>
          <w:pgSz w:w="11900" w:h="16838" w:orient="portrait"/>
          <w:cols w:equalWidth="0" w:num="1">
            <w:col w:w="10239"/>
          </w:cols>
          <w:pgMar w:left="220" w:top="766" w:right="1440" w:bottom="1440" w:gutter="0" w:footer="0" w:header="0"/>
        </w:sectPr>
      </w:pPr>
    </w:p>
    <w:bookmarkStart w:id="12" w:name="page13"/>
    <w:bookmarkEnd w:id="12"/>
    <w:p>
      <w:pPr>
        <w:ind w:left="2100"/>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Stockholders of</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Gametek (UK) Limited and Subsidiary:</w:t>
      </w:r>
    </w:p>
    <w:p>
      <w:pPr>
        <w:spacing w:after="0" w:line="140"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5"/>
          <w:szCs w:val="15"/>
          <w:color w:val="auto"/>
        </w:rPr>
        <w:t>We have audited the accompanying consolidated balance sheet of Gametek (UK) Limited and Subsidiary (collectively, the "Company") as of July 29, 1997 and the related consolidated statements of operations, stockholders' equity (deficit) and cash flows for the year ended July 31, 1996 and the period ended July 29, 1997. These financial statements are the responsibility of the Company's management. Our responsibility is to express an opinion on these financial statements based on our audits.</w:t>
      </w:r>
    </w:p>
    <w:p>
      <w:pPr>
        <w:spacing w:after="0" w:line="82" w:lineRule="exact"/>
        <w:rPr>
          <w:sz w:val="20"/>
          <w:szCs w:val="20"/>
          <w:color w:val="auto"/>
        </w:rPr>
      </w:pPr>
    </w:p>
    <w:p>
      <w:pPr>
        <w:ind w:right="3239"/>
        <w:spacing w:after="0" w:line="250" w:lineRule="auto"/>
        <w:rPr>
          <w:sz w:val="20"/>
          <w:szCs w:val="20"/>
          <w:color w:val="auto"/>
        </w:rPr>
      </w:pPr>
      <w:r>
        <w:rPr>
          <w:rFonts w:ascii="Courier New" w:cs="Courier New" w:eastAsia="Courier New" w:hAnsi="Courier New"/>
          <w:sz w:val="15"/>
          <w:szCs w:val="15"/>
          <w:color w:val="auto"/>
        </w:rPr>
        <w:t>We conducted our audits in accordance with United States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89"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consolidated financial position of Gametek (UK) Limited and Subsidiary as of July 29, 1997 and the consolidated results of operations and cash flows for the year ended July 31, 1996 and the period ended July 29, 1997, in conformity with United States generally accepted accounting principles.</w:t>
      </w:r>
    </w:p>
    <w:p>
      <w:pPr>
        <w:spacing w:after="0" w:line="81"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5"/>
          <w:szCs w:val="15"/>
          <w:color w:val="auto"/>
        </w:rPr>
        <w:t>The accompanying consolidated financial statements have been prepared assuming the Company will continue as a going concern. As discussed in Note 2 to the financial statements, the Company's recurring losses and net capital deficiency raise substantial doubt about its ability to continue as a going concern. The financial statements do not include any adjustments that might result from the outcome of this uncertainty.</w:t>
      </w:r>
    </w:p>
    <w:p>
      <w:pPr>
        <w:spacing w:after="0" w:line="200" w:lineRule="exact"/>
        <w:rPr>
          <w:sz w:val="20"/>
          <w:szCs w:val="20"/>
          <w:color w:val="auto"/>
        </w:rPr>
      </w:pPr>
    </w:p>
    <w:p>
      <w:pPr>
        <w:spacing w:after="0" w:line="218"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5"/>
          <w:szCs w:val="15"/>
          <w:color w:val="auto"/>
        </w:rPr>
        <w:t>/s/ COOPERS &amp; LYBRAND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Reading, England</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13, 1997</w:t>
      </w:r>
    </w:p>
    <w:p>
      <w:pPr>
        <w:sectPr>
          <w:pgSz w:w="11900" w:h="16838" w:orient="portrait"/>
          <w:cols w:equalWidth="0" w:num="1">
            <w:col w:w="10239"/>
          </w:cols>
          <w:pgMar w:left="220" w:top="1270" w:right="1440" w:bottom="1440" w:gutter="0" w:footer="0" w:header="0"/>
        </w:sectPr>
      </w:pPr>
    </w:p>
    <w:bookmarkStart w:id="13" w:name="page14"/>
    <w:bookmarkEnd w:id="13"/>
    <w:p>
      <w:pPr>
        <w:ind w:left="2020"/>
        <w:spacing w:after="0"/>
        <w:rPr>
          <w:sz w:val="20"/>
          <w:szCs w:val="20"/>
          <w:color w:val="auto"/>
        </w:rPr>
      </w:pPr>
      <w:r>
        <w:rPr>
          <w:rFonts w:ascii="Courier New" w:cs="Courier New" w:eastAsia="Courier New" w:hAnsi="Courier New"/>
          <w:sz w:val="15"/>
          <w:szCs w:val="15"/>
          <w:color w:val="auto"/>
        </w:rPr>
        <w:t>GAMETEK (UK) LIMITED AND SUBSIDIARY</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CONSOLIDATED BALANCE SHEET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520" w:type="dxa"/>
            <w:vAlign w:val="bottom"/>
          </w:tcPr>
          <w:p>
            <w:pPr>
              <w:ind w:left="2900"/>
              <w:spacing w:after="0"/>
              <w:rPr>
                <w:sz w:val="20"/>
                <w:szCs w:val="20"/>
                <w:color w:val="auto"/>
              </w:rPr>
            </w:pPr>
            <w:r>
              <w:rPr>
                <w:rFonts w:ascii="Courier New" w:cs="Courier New" w:eastAsia="Courier New" w:hAnsi="Courier New"/>
                <w:sz w:val="15"/>
                <w:szCs w:val="15"/>
                <w:color w:val="auto"/>
              </w:rPr>
              <w:t>(in US Dollars)</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4"/>
        </w:trPr>
        <w:tc>
          <w:tcPr>
            <w:tcW w:w="6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July 29,</w:t>
            </w:r>
          </w:p>
        </w:tc>
        <w:tc>
          <w:tcPr>
            <w:tcW w:w="0" w:type="dxa"/>
            <w:vAlign w:val="bottom"/>
          </w:tcPr>
          <w:p>
            <w:pPr>
              <w:spacing w:after="0"/>
              <w:rPr>
                <w:sz w:val="1"/>
                <w:szCs w:val="1"/>
                <w:color w:val="auto"/>
              </w:rPr>
            </w:pPr>
          </w:p>
        </w:tc>
      </w:tr>
      <w:tr>
        <w:trPr>
          <w:trHeight w:val="168"/>
        </w:trPr>
        <w:tc>
          <w:tcPr>
            <w:tcW w:w="6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45"/>
        </w:trPr>
        <w:tc>
          <w:tcPr>
            <w:tcW w:w="6520" w:type="dxa"/>
            <w:vAlign w:val="bottom"/>
          </w:tcPr>
          <w:p>
            <w:pPr>
              <w:spacing w:after="0"/>
              <w:rPr>
                <w:sz w:val="21"/>
                <w:szCs w:val="21"/>
                <w:color w:val="auto"/>
              </w:rPr>
            </w:pPr>
          </w:p>
        </w:tc>
        <w:tc>
          <w:tcPr>
            <w:tcW w:w="11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65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151,977</w:t>
            </w:r>
          </w:p>
        </w:tc>
        <w:tc>
          <w:tcPr>
            <w:tcW w:w="0" w:type="dxa"/>
            <w:vAlign w:val="bottom"/>
          </w:tcPr>
          <w:p>
            <w:pPr>
              <w:spacing w:after="0"/>
              <w:rPr>
                <w:sz w:val="1"/>
                <w:szCs w:val="1"/>
                <w:color w:val="auto"/>
              </w:rPr>
            </w:pPr>
          </w:p>
        </w:tc>
      </w:tr>
      <w:tr>
        <w:trPr>
          <w:trHeight w:val="168"/>
        </w:trPr>
        <w:tc>
          <w:tcPr>
            <w:tcW w:w="6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2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Accounts receivable, less allowance for doubtful accounts of $353,561</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66,569</w:t>
            </w:r>
          </w:p>
        </w:tc>
        <w:tc>
          <w:tcPr>
            <w:tcW w:w="0" w:type="dxa"/>
            <w:vAlign w:val="bottom"/>
          </w:tcPr>
          <w:p>
            <w:pPr>
              <w:spacing w:after="0"/>
              <w:rPr>
                <w:sz w:val="1"/>
                <w:szCs w:val="1"/>
                <w:color w:val="auto"/>
              </w:rPr>
            </w:pPr>
          </w:p>
        </w:tc>
      </w:tr>
      <w:tr>
        <w:trPr>
          <w:trHeight w:val="168"/>
        </w:trPr>
        <w:tc>
          <w:tcPr>
            <w:tcW w:w="6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Corporation tax receivable</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672,126</w:t>
            </w:r>
          </w:p>
        </w:tc>
        <w:tc>
          <w:tcPr>
            <w:tcW w:w="0" w:type="dxa"/>
            <w:vAlign w:val="bottom"/>
          </w:tcPr>
          <w:p>
            <w:pPr>
              <w:spacing w:after="0"/>
              <w:rPr>
                <w:sz w:val="1"/>
                <w:szCs w:val="1"/>
                <w:color w:val="auto"/>
              </w:rPr>
            </w:pPr>
          </w:p>
        </w:tc>
      </w:tr>
      <w:tr>
        <w:trPr>
          <w:trHeight w:val="168"/>
        </w:trPr>
        <w:tc>
          <w:tcPr>
            <w:tcW w:w="6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Prepaid expense and other current assets</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58,855</w:t>
            </w:r>
          </w:p>
        </w:tc>
        <w:tc>
          <w:tcPr>
            <w:tcW w:w="0" w:type="dxa"/>
            <w:vAlign w:val="bottom"/>
          </w:tcPr>
          <w:p>
            <w:pPr>
              <w:spacing w:after="0"/>
              <w:rPr>
                <w:sz w:val="1"/>
                <w:szCs w:val="1"/>
                <w:color w:val="auto"/>
              </w:rPr>
            </w:pPr>
          </w:p>
        </w:tc>
      </w:tr>
      <w:tr>
        <w:trPr>
          <w:trHeight w:val="168"/>
        </w:trPr>
        <w:tc>
          <w:tcPr>
            <w:tcW w:w="6520" w:type="dxa"/>
            <w:vAlign w:val="bottom"/>
            <w:vMerge w:val="restart"/>
          </w:tcPr>
          <w:p>
            <w:pPr>
              <w:spacing w:after="0"/>
              <w:rPr>
                <w:sz w:val="20"/>
                <w:szCs w:val="20"/>
                <w:color w:val="auto"/>
              </w:rPr>
            </w:pPr>
            <w:r>
              <w:rPr>
                <w:rFonts w:ascii="Courier New" w:cs="Courier New" w:eastAsia="Courier New" w:hAnsi="Courier New"/>
                <w:sz w:val="15"/>
                <w:szCs w:val="15"/>
                <w:color w:val="auto"/>
              </w:rPr>
              <w:t>Total current assets</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5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949,527</w:t>
            </w:r>
          </w:p>
        </w:tc>
        <w:tc>
          <w:tcPr>
            <w:tcW w:w="0" w:type="dxa"/>
            <w:vAlign w:val="bottom"/>
          </w:tcPr>
          <w:p>
            <w:pPr>
              <w:spacing w:after="0"/>
              <w:rPr>
                <w:sz w:val="1"/>
                <w:szCs w:val="1"/>
                <w:color w:val="auto"/>
              </w:rPr>
            </w:pPr>
          </w:p>
        </w:tc>
      </w:tr>
      <w:tr>
        <w:trPr>
          <w:trHeight w:val="168"/>
        </w:trPr>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and equipment, net</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57,616</w:t>
            </w:r>
          </w:p>
        </w:tc>
        <w:tc>
          <w:tcPr>
            <w:tcW w:w="0" w:type="dxa"/>
            <w:vAlign w:val="bottom"/>
          </w:tcPr>
          <w:p>
            <w:pPr>
              <w:spacing w:after="0"/>
              <w:rPr>
                <w:sz w:val="1"/>
                <w:szCs w:val="1"/>
                <w:color w:val="auto"/>
              </w:rPr>
            </w:pPr>
          </w:p>
        </w:tc>
      </w:tr>
      <w:tr>
        <w:trPr>
          <w:trHeight w:val="168"/>
        </w:trPr>
        <w:tc>
          <w:tcPr>
            <w:tcW w:w="6520" w:type="dxa"/>
            <w:vAlign w:val="bottom"/>
            <w:vMerge w:val="restart"/>
          </w:tcPr>
          <w:p>
            <w:pPr>
              <w:spacing w:after="0"/>
              <w:rPr>
                <w:sz w:val="20"/>
                <w:szCs w:val="20"/>
                <w:color w:val="auto"/>
              </w:rPr>
            </w:pPr>
            <w:r>
              <w:rPr>
                <w:rFonts w:ascii="Courier New" w:cs="Courier New" w:eastAsia="Courier New" w:hAnsi="Courier New"/>
                <w:sz w:val="15"/>
                <w:szCs w:val="15"/>
                <w:color w:val="auto"/>
              </w:rPr>
              <w:t>Total assets</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520" w:type="dxa"/>
            <w:vAlign w:val="bottom"/>
            <w:vMerge w:val="continue"/>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$ 1,007,143</w:t>
            </w:r>
          </w:p>
        </w:tc>
        <w:tc>
          <w:tcPr>
            <w:tcW w:w="0" w:type="dxa"/>
            <w:vAlign w:val="bottom"/>
          </w:tcPr>
          <w:p>
            <w:pPr>
              <w:spacing w:after="0"/>
              <w:rPr>
                <w:sz w:val="1"/>
                <w:szCs w:val="1"/>
                <w:color w:val="auto"/>
              </w:rPr>
            </w:pPr>
          </w:p>
        </w:tc>
      </w:tr>
      <w:tr>
        <w:trPr>
          <w:trHeight w:val="245"/>
        </w:trPr>
        <w:tc>
          <w:tcPr>
            <w:tcW w:w="6520" w:type="dxa"/>
            <w:vAlign w:val="bottom"/>
          </w:tcPr>
          <w:p>
            <w:pPr>
              <w:spacing w:after="0"/>
              <w:rPr>
                <w:sz w:val="21"/>
                <w:szCs w:val="21"/>
                <w:color w:val="auto"/>
              </w:rPr>
            </w:pPr>
          </w:p>
        </w:tc>
        <w:tc>
          <w:tcPr>
            <w:tcW w:w="11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652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DEFICIT</w:t>
            </w: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712,839</w:t>
            </w:r>
          </w:p>
        </w:tc>
        <w:tc>
          <w:tcPr>
            <w:tcW w:w="0" w:type="dxa"/>
            <w:vAlign w:val="bottom"/>
          </w:tcPr>
          <w:p>
            <w:pPr>
              <w:spacing w:after="0"/>
              <w:rPr>
                <w:sz w:val="1"/>
                <w:szCs w:val="1"/>
                <w:color w:val="auto"/>
              </w:rPr>
            </w:pPr>
          </w:p>
        </w:tc>
      </w:tr>
      <w:tr>
        <w:trPr>
          <w:trHeight w:val="168"/>
        </w:trPr>
        <w:tc>
          <w:tcPr>
            <w:tcW w:w="6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Accounts payable</w:t>
            </w:r>
          </w:p>
        </w:tc>
        <w:tc>
          <w:tcPr>
            <w:tcW w:w="2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Accrued expenses</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222,471</w:t>
            </w:r>
          </w:p>
        </w:tc>
        <w:tc>
          <w:tcPr>
            <w:tcW w:w="0" w:type="dxa"/>
            <w:vAlign w:val="bottom"/>
          </w:tcPr>
          <w:p>
            <w:pPr>
              <w:spacing w:after="0"/>
              <w:rPr>
                <w:sz w:val="1"/>
                <w:szCs w:val="1"/>
                <w:color w:val="auto"/>
              </w:rPr>
            </w:pPr>
          </w:p>
        </w:tc>
      </w:tr>
      <w:tr>
        <w:trPr>
          <w:trHeight w:val="168"/>
        </w:trPr>
        <w:tc>
          <w:tcPr>
            <w:tcW w:w="6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Bank overdrafts</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686,384</w:t>
            </w:r>
          </w:p>
        </w:tc>
        <w:tc>
          <w:tcPr>
            <w:tcW w:w="0" w:type="dxa"/>
            <w:vAlign w:val="bottom"/>
          </w:tcPr>
          <w:p>
            <w:pPr>
              <w:spacing w:after="0"/>
              <w:rPr>
                <w:sz w:val="1"/>
                <w:szCs w:val="1"/>
                <w:color w:val="auto"/>
              </w:rPr>
            </w:pPr>
          </w:p>
        </w:tc>
      </w:tr>
      <w:tr>
        <w:trPr>
          <w:trHeight w:val="168"/>
        </w:trPr>
        <w:tc>
          <w:tcPr>
            <w:tcW w:w="6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 taxes and social security</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150,418</w:t>
            </w:r>
          </w:p>
        </w:tc>
        <w:tc>
          <w:tcPr>
            <w:tcW w:w="0" w:type="dxa"/>
            <w:vAlign w:val="bottom"/>
          </w:tcPr>
          <w:p>
            <w:pPr>
              <w:spacing w:after="0"/>
              <w:rPr>
                <w:sz w:val="1"/>
                <w:szCs w:val="1"/>
                <w:color w:val="auto"/>
              </w:rPr>
            </w:pPr>
          </w:p>
        </w:tc>
      </w:tr>
      <w:tr>
        <w:trPr>
          <w:trHeight w:val="168"/>
        </w:trPr>
        <w:tc>
          <w:tcPr>
            <w:tcW w:w="6520" w:type="dxa"/>
            <w:vAlign w:val="bottom"/>
            <w:vMerge w:val="restart"/>
          </w:tcPr>
          <w:p>
            <w:pPr>
              <w:spacing w:after="0"/>
              <w:rPr>
                <w:sz w:val="20"/>
                <w:szCs w:val="20"/>
                <w:color w:val="auto"/>
              </w:rPr>
            </w:pPr>
            <w:r>
              <w:rPr>
                <w:rFonts w:ascii="Courier New" w:cs="Courier New" w:eastAsia="Courier New" w:hAnsi="Courier New"/>
                <w:sz w:val="15"/>
                <w:szCs w:val="15"/>
                <w:color w:val="auto"/>
              </w:rPr>
              <w:t>Total current liabilities</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5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1,772,112</w:t>
            </w:r>
          </w:p>
        </w:tc>
        <w:tc>
          <w:tcPr>
            <w:tcW w:w="0" w:type="dxa"/>
            <w:vAlign w:val="bottom"/>
          </w:tcPr>
          <w:p>
            <w:pPr>
              <w:spacing w:after="0"/>
              <w:rPr>
                <w:sz w:val="1"/>
                <w:szCs w:val="1"/>
                <w:color w:val="auto"/>
              </w:rPr>
            </w:pPr>
          </w:p>
        </w:tc>
      </w:tr>
      <w:tr>
        <w:trPr>
          <w:trHeight w:val="168"/>
        </w:trPr>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liabilities</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89,725</w:t>
            </w:r>
          </w:p>
        </w:tc>
        <w:tc>
          <w:tcPr>
            <w:tcW w:w="0" w:type="dxa"/>
            <w:vAlign w:val="bottom"/>
          </w:tcPr>
          <w:p>
            <w:pPr>
              <w:spacing w:after="0"/>
              <w:rPr>
                <w:sz w:val="1"/>
                <w:szCs w:val="1"/>
                <w:color w:val="auto"/>
              </w:rPr>
            </w:pPr>
          </w:p>
        </w:tc>
      </w:tr>
      <w:tr>
        <w:trPr>
          <w:trHeight w:val="168"/>
        </w:trPr>
        <w:tc>
          <w:tcPr>
            <w:tcW w:w="6520" w:type="dxa"/>
            <w:vAlign w:val="bottom"/>
            <w:vMerge w:val="restart"/>
          </w:tcPr>
          <w:p>
            <w:pPr>
              <w:spacing w:after="0"/>
              <w:rPr>
                <w:sz w:val="20"/>
                <w:szCs w:val="20"/>
                <w:color w:val="auto"/>
              </w:rPr>
            </w:pPr>
            <w:r>
              <w:rPr>
                <w:rFonts w:ascii="Courier New" w:cs="Courier New" w:eastAsia="Courier New" w:hAnsi="Courier New"/>
                <w:sz w:val="15"/>
                <w:szCs w:val="15"/>
                <w:color w:val="auto"/>
              </w:rPr>
              <w:t>Total liabilities</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5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1,861,837</w:t>
            </w:r>
          </w:p>
        </w:tc>
        <w:tc>
          <w:tcPr>
            <w:tcW w:w="0" w:type="dxa"/>
            <w:vAlign w:val="bottom"/>
          </w:tcPr>
          <w:p>
            <w:pPr>
              <w:spacing w:after="0"/>
              <w:rPr>
                <w:sz w:val="1"/>
                <w:szCs w:val="1"/>
                <w:color w:val="auto"/>
              </w:rPr>
            </w:pPr>
          </w:p>
        </w:tc>
      </w:tr>
      <w:tr>
        <w:trPr>
          <w:trHeight w:val="245"/>
        </w:trPr>
        <w:tc>
          <w:tcPr>
            <w:tcW w:w="6520" w:type="dxa"/>
            <w:vAlign w:val="bottom"/>
          </w:tcPr>
          <w:p>
            <w:pPr>
              <w:spacing w:after="0"/>
              <w:rPr>
                <w:sz w:val="21"/>
                <w:szCs w:val="21"/>
                <w:color w:val="auto"/>
              </w:rPr>
            </w:pPr>
          </w:p>
        </w:tc>
        <w:tc>
          <w:tcPr>
            <w:tcW w:w="11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6520" w:type="dxa"/>
            <w:vAlign w:val="bottom"/>
          </w:tcPr>
          <w:p>
            <w:pPr>
              <w:spacing w:after="0"/>
              <w:rPr>
                <w:sz w:val="20"/>
                <w:szCs w:val="20"/>
                <w:color w:val="auto"/>
              </w:rPr>
            </w:pPr>
            <w:r>
              <w:rPr>
                <w:rFonts w:ascii="Courier New" w:cs="Courier New" w:eastAsia="Courier New" w:hAnsi="Courier New"/>
                <w:sz w:val="15"/>
                <w:szCs w:val="15"/>
                <w:color w:val="auto"/>
              </w:rPr>
              <w:t>Stockholders' deficit:</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6520" w:type="dxa"/>
            <w:vAlign w:val="bottom"/>
          </w:tcPr>
          <w:p>
            <w:pPr>
              <w:ind w:left="360"/>
              <w:spacing w:after="0"/>
              <w:rPr>
                <w:sz w:val="20"/>
                <w:szCs w:val="20"/>
                <w:color w:val="auto"/>
              </w:rPr>
            </w:pPr>
            <w:r>
              <w:rPr>
                <w:rFonts w:ascii="Courier New" w:cs="Courier New" w:eastAsia="Courier New" w:hAnsi="Courier New"/>
                <w:sz w:val="15"/>
                <w:szCs w:val="15"/>
                <w:color w:val="auto"/>
              </w:rPr>
              <w:t>Common stock 1 pound ($1.55) par value, 1,677,756 shares authorized;</w:t>
            </w:r>
          </w:p>
        </w:tc>
        <w:tc>
          <w:tcPr>
            <w:tcW w:w="220" w:type="dxa"/>
            <w:vAlign w:val="bottom"/>
          </w:tcPr>
          <w:p>
            <w:pPr>
              <w:spacing w:after="0"/>
              <w:rPr>
                <w:sz w:val="22"/>
                <w:szCs w:val="22"/>
                <w:color w:val="auto"/>
              </w:rPr>
            </w:pPr>
          </w:p>
        </w:tc>
        <w:tc>
          <w:tcPr>
            <w:tcW w:w="9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2,692,826</w:t>
            </w:r>
          </w:p>
        </w:tc>
        <w:tc>
          <w:tcPr>
            <w:tcW w:w="0" w:type="dxa"/>
            <w:vAlign w:val="bottom"/>
          </w:tcPr>
          <w:p>
            <w:pPr>
              <w:spacing w:after="0"/>
              <w:rPr>
                <w:sz w:val="1"/>
                <w:szCs w:val="1"/>
                <w:color w:val="auto"/>
              </w:rPr>
            </w:pPr>
          </w:p>
        </w:tc>
      </w:tr>
      <w:tr>
        <w:trPr>
          <w:trHeight w:val="168"/>
        </w:trPr>
        <w:tc>
          <w:tcPr>
            <w:tcW w:w="6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1,677,756 shares issued and outstanding</w:t>
            </w:r>
          </w:p>
        </w:tc>
        <w:tc>
          <w:tcPr>
            <w:tcW w:w="2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Accumulated deficit</w:t>
            </w: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(3,638,494)</w:t>
            </w:r>
          </w:p>
        </w:tc>
        <w:tc>
          <w:tcPr>
            <w:tcW w:w="0" w:type="dxa"/>
            <w:vAlign w:val="bottom"/>
          </w:tcPr>
          <w:p>
            <w:pPr>
              <w:spacing w:after="0"/>
              <w:rPr>
                <w:sz w:val="1"/>
                <w:szCs w:val="1"/>
                <w:color w:val="auto"/>
              </w:rPr>
            </w:pPr>
          </w:p>
        </w:tc>
      </w:tr>
      <w:tr>
        <w:trPr>
          <w:trHeight w:val="168"/>
        </w:trPr>
        <w:tc>
          <w:tcPr>
            <w:tcW w:w="6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Cumulative translation adjustment</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90,974</w:t>
            </w:r>
          </w:p>
        </w:tc>
        <w:tc>
          <w:tcPr>
            <w:tcW w:w="0" w:type="dxa"/>
            <w:vAlign w:val="bottom"/>
          </w:tcPr>
          <w:p>
            <w:pPr>
              <w:spacing w:after="0"/>
              <w:rPr>
                <w:sz w:val="1"/>
                <w:szCs w:val="1"/>
                <w:color w:val="auto"/>
              </w:rPr>
            </w:pPr>
          </w:p>
        </w:tc>
      </w:tr>
      <w:tr>
        <w:trPr>
          <w:trHeight w:val="168"/>
        </w:trPr>
        <w:tc>
          <w:tcPr>
            <w:tcW w:w="6520" w:type="dxa"/>
            <w:vAlign w:val="bottom"/>
            <w:vMerge w:val="restart"/>
          </w:tcPr>
          <w:p>
            <w:pPr>
              <w:spacing w:after="0"/>
              <w:rPr>
                <w:sz w:val="20"/>
                <w:szCs w:val="20"/>
                <w:color w:val="auto"/>
              </w:rPr>
            </w:pPr>
            <w:r>
              <w:rPr>
                <w:rFonts w:ascii="Courier New" w:cs="Courier New" w:eastAsia="Courier New" w:hAnsi="Courier New"/>
                <w:sz w:val="15"/>
                <w:szCs w:val="15"/>
                <w:color w:val="auto"/>
              </w:rPr>
              <w:t>Total stockholders' deficit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5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(854,694)</w:t>
            </w:r>
          </w:p>
        </w:tc>
        <w:tc>
          <w:tcPr>
            <w:tcW w:w="0" w:type="dxa"/>
            <w:vAlign w:val="bottom"/>
          </w:tcPr>
          <w:p>
            <w:pPr>
              <w:spacing w:after="0"/>
              <w:rPr>
                <w:sz w:val="1"/>
                <w:szCs w:val="1"/>
                <w:color w:val="auto"/>
              </w:rPr>
            </w:pPr>
          </w:p>
        </w:tc>
      </w:tr>
      <w:tr>
        <w:trPr>
          <w:trHeight w:val="168"/>
        </w:trPr>
        <w:tc>
          <w:tcPr>
            <w:tcW w:w="6520" w:type="dxa"/>
            <w:vAlign w:val="bottom"/>
            <w:vMerge w:val="restart"/>
          </w:tcPr>
          <w:p>
            <w:pPr>
              <w:spacing w:after="0"/>
              <w:rPr>
                <w:sz w:val="20"/>
                <w:szCs w:val="20"/>
                <w:color w:val="auto"/>
              </w:rPr>
            </w:pPr>
            <w:r>
              <w:rPr>
                <w:rFonts w:ascii="Courier New" w:cs="Courier New" w:eastAsia="Courier New" w:hAnsi="Courier New"/>
                <w:sz w:val="15"/>
                <w:szCs w:val="15"/>
                <w:color w:val="auto"/>
              </w:rPr>
              <w:t>Total liabilities and stockholders' deficit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520" w:type="dxa"/>
            <w:vAlign w:val="bottom"/>
            <w:vMerge w:val="continue"/>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$ 1,007,143</w:t>
            </w:r>
          </w:p>
        </w:tc>
        <w:tc>
          <w:tcPr>
            <w:tcW w:w="0" w:type="dxa"/>
            <w:vAlign w:val="bottom"/>
          </w:tcPr>
          <w:p>
            <w:pPr>
              <w:spacing w:after="0"/>
              <w:rPr>
                <w:sz w:val="1"/>
                <w:szCs w:val="1"/>
                <w:color w:val="auto"/>
              </w:rPr>
            </w:pPr>
          </w:p>
        </w:tc>
      </w:tr>
      <w:tr>
        <w:trPr>
          <w:trHeight w:val="245"/>
        </w:trPr>
        <w:tc>
          <w:tcPr>
            <w:tcW w:w="6520" w:type="dxa"/>
            <w:vAlign w:val="bottom"/>
          </w:tcPr>
          <w:p>
            <w:pPr>
              <w:spacing w:after="0"/>
              <w:rPr>
                <w:sz w:val="21"/>
                <w:szCs w:val="21"/>
                <w:color w:val="auto"/>
              </w:rPr>
            </w:pPr>
          </w:p>
        </w:tc>
        <w:tc>
          <w:tcPr>
            <w:tcW w:w="11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right="3839"/>
        <w:spacing w:after="0" w:line="344" w:lineRule="auto"/>
        <w:rPr>
          <w:sz w:val="20"/>
          <w:szCs w:val="20"/>
          <w:color w:val="auto"/>
        </w:rPr>
      </w:pPr>
      <w:r>
        <w:rPr>
          <w:rFonts w:ascii="Courier New" w:cs="Courier New" w:eastAsia="Courier New" w:hAnsi="Courier New"/>
          <w:sz w:val="15"/>
          <w:szCs w:val="15"/>
          <w:color w:val="auto"/>
        </w:rPr>
        <w:t>The accompanying notes are an integral part of the consolidated financial statements.</w:t>
      </w:r>
    </w:p>
    <w:p>
      <w:pPr>
        <w:spacing w:after="0" w:line="18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766" w:right="1440" w:bottom="1440" w:gutter="0" w:footer="0" w:header="0"/>
        </w:sectPr>
      </w:pPr>
    </w:p>
    <w:bookmarkStart w:id="14" w:name="page15"/>
    <w:bookmarkEnd w:id="14"/>
    <w:p>
      <w:pPr>
        <w:jc w:val="center"/>
        <w:ind w:right="3139"/>
        <w:spacing w:after="0"/>
        <w:rPr>
          <w:sz w:val="20"/>
          <w:szCs w:val="20"/>
          <w:color w:val="auto"/>
        </w:rPr>
      </w:pPr>
      <w:r>
        <w:rPr>
          <w:rFonts w:ascii="Courier New" w:cs="Courier New" w:eastAsia="Courier New" w:hAnsi="Courier New"/>
          <w:sz w:val="15"/>
          <w:szCs w:val="15"/>
          <w:color w:val="auto"/>
        </w:rPr>
        <w:t>GAMETEK (UK) LIMITED AND SUBSIDIARY</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(in US Dollars)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1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July 31,</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July 29,</w:t>
            </w:r>
          </w:p>
        </w:tc>
        <w:tc>
          <w:tcPr>
            <w:tcW w:w="0" w:type="dxa"/>
            <w:vAlign w:val="bottom"/>
          </w:tcPr>
          <w:p>
            <w:pPr>
              <w:spacing w:after="0"/>
              <w:rPr>
                <w:sz w:val="1"/>
                <w:szCs w:val="1"/>
                <w:color w:val="auto"/>
              </w:rPr>
            </w:pPr>
          </w:p>
        </w:tc>
      </w:tr>
      <w:tr>
        <w:trPr>
          <w:trHeight w:val="168"/>
        </w:trPr>
        <w:tc>
          <w:tcPr>
            <w:tcW w:w="4040" w:type="dxa"/>
            <w:vAlign w:val="bottom"/>
          </w:tcPr>
          <w:p>
            <w:pPr>
              <w:spacing w:after="0"/>
              <w:rPr>
                <w:sz w:val="14"/>
                <w:szCs w:val="14"/>
                <w:color w:val="auto"/>
              </w:rPr>
            </w:pPr>
          </w:p>
        </w:tc>
        <w:tc>
          <w:tcPr>
            <w:tcW w:w="1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1996</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45"/>
        </w:trPr>
        <w:tc>
          <w:tcPr>
            <w:tcW w:w="4040" w:type="dxa"/>
            <w:vAlign w:val="bottom"/>
          </w:tcPr>
          <w:p>
            <w:pPr>
              <w:spacing w:after="0"/>
              <w:rPr>
                <w:sz w:val="21"/>
                <w:szCs w:val="21"/>
                <w:color w:val="auto"/>
              </w:rPr>
            </w:pPr>
          </w:p>
        </w:tc>
        <w:tc>
          <w:tcPr>
            <w:tcW w:w="1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$ 8,851,681</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$ 5,068,676</w:t>
            </w:r>
          </w:p>
        </w:tc>
        <w:tc>
          <w:tcPr>
            <w:tcW w:w="0" w:type="dxa"/>
            <w:vAlign w:val="bottom"/>
          </w:tcPr>
          <w:p>
            <w:pPr>
              <w:spacing w:after="0"/>
              <w:rPr>
                <w:sz w:val="1"/>
                <w:szCs w:val="1"/>
                <w:color w:val="auto"/>
              </w:rPr>
            </w:pPr>
          </w:p>
        </w:tc>
      </w:tr>
      <w:tr>
        <w:trPr>
          <w:trHeight w:val="259"/>
        </w:trPr>
        <w:tc>
          <w:tcPr>
            <w:tcW w:w="404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1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6,008,628</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5,737,481</w:t>
            </w:r>
          </w:p>
        </w:tc>
        <w:tc>
          <w:tcPr>
            <w:tcW w:w="0" w:type="dxa"/>
            <w:vAlign w:val="bottom"/>
          </w:tcPr>
          <w:p>
            <w:pPr>
              <w:spacing w:after="0"/>
              <w:rPr>
                <w:sz w:val="1"/>
                <w:szCs w:val="1"/>
                <w:color w:val="auto"/>
              </w:rPr>
            </w:pPr>
          </w:p>
        </w:tc>
      </w:tr>
      <w:tr>
        <w:trPr>
          <w:trHeight w:val="245"/>
        </w:trPr>
        <w:tc>
          <w:tcPr>
            <w:tcW w:w="4040" w:type="dxa"/>
            <w:vAlign w:val="bottom"/>
          </w:tcPr>
          <w:p>
            <w:pPr>
              <w:spacing w:after="0"/>
              <w:rPr>
                <w:sz w:val="21"/>
                <w:szCs w:val="21"/>
                <w:color w:val="auto"/>
              </w:rPr>
            </w:pPr>
          </w:p>
        </w:tc>
        <w:tc>
          <w:tcPr>
            <w:tcW w:w="1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4040" w:type="dxa"/>
            <w:vAlign w:val="bottom"/>
          </w:tcPr>
          <w:p>
            <w:pPr>
              <w:ind w:left="620"/>
              <w:spacing w:after="0"/>
              <w:rPr>
                <w:sz w:val="20"/>
                <w:szCs w:val="20"/>
                <w:color w:val="auto"/>
              </w:rPr>
            </w:pPr>
            <w:r>
              <w:rPr>
                <w:rFonts w:ascii="Courier New" w:cs="Courier New" w:eastAsia="Courier New" w:hAnsi="Courier New"/>
                <w:sz w:val="15"/>
                <w:szCs w:val="15"/>
                <w:color w:val="auto"/>
              </w:rPr>
              <w:t>Gross profit (loss)</w:t>
            </w:r>
          </w:p>
        </w:tc>
        <w:tc>
          <w:tcPr>
            <w:tcW w:w="1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2,843,053</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(668,805)</w:t>
            </w:r>
          </w:p>
        </w:tc>
        <w:tc>
          <w:tcPr>
            <w:tcW w:w="0" w:type="dxa"/>
            <w:vAlign w:val="bottom"/>
          </w:tcPr>
          <w:p>
            <w:pPr>
              <w:spacing w:after="0"/>
              <w:rPr>
                <w:sz w:val="1"/>
                <w:szCs w:val="1"/>
                <w:color w:val="auto"/>
              </w:rPr>
            </w:pPr>
          </w:p>
        </w:tc>
      </w:tr>
      <w:tr>
        <w:trPr>
          <w:trHeight w:val="259"/>
        </w:trPr>
        <w:tc>
          <w:tcPr>
            <w:tcW w:w="40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70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1,879,967</w:t>
            </w:r>
          </w:p>
        </w:tc>
        <w:tc>
          <w:tcPr>
            <w:tcW w:w="12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1,145,021</w:t>
            </w:r>
          </w:p>
        </w:tc>
        <w:tc>
          <w:tcPr>
            <w:tcW w:w="0" w:type="dxa"/>
            <w:vAlign w:val="bottom"/>
          </w:tcPr>
          <w:p>
            <w:pPr>
              <w:spacing w:after="0"/>
              <w:rPr>
                <w:sz w:val="1"/>
                <w:szCs w:val="1"/>
                <w:color w:val="auto"/>
              </w:rPr>
            </w:pPr>
          </w:p>
        </w:tc>
      </w:tr>
      <w:tr>
        <w:trPr>
          <w:trHeight w:val="168"/>
        </w:trPr>
        <w:tc>
          <w:tcPr>
            <w:tcW w:w="40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Selling and marketing</w:t>
            </w:r>
          </w:p>
        </w:tc>
        <w:tc>
          <w:tcPr>
            <w:tcW w:w="170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1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1,762,313</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3,049,379</w:t>
            </w:r>
          </w:p>
        </w:tc>
        <w:tc>
          <w:tcPr>
            <w:tcW w:w="0" w:type="dxa"/>
            <w:vAlign w:val="bottom"/>
          </w:tcPr>
          <w:p>
            <w:pPr>
              <w:spacing w:after="0"/>
              <w:rPr>
                <w:sz w:val="1"/>
                <w:szCs w:val="1"/>
                <w:color w:val="auto"/>
              </w:rPr>
            </w:pPr>
          </w:p>
        </w:tc>
      </w:tr>
      <w:tr>
        <w:trPr>
          <w:trHeight w:val="168"/>
        </w:trPr>
        <w:tc>
          <w:tcPr>
            <w:tcW w:w="40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Depreciation</w:t>
            </w:r>
          </w:p>
        </w:tc>
        <w:tc>
          <w:tcPr>
            <w:tcW w:w="1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118,987</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88,372</w:t>
            </w:r>
          </w:p>
        </w:tc>
        <w:tc>
          <w:tcPr>
            <w:tcW w:w="0" w:type="dxa"/>
            <w:vAlign w:val="bottom"/>
          </w:tcPr>
          <w:p>
            <w:pPr>
              <w:spacing w:after="0"/>
              <w:rPr>
                <w:sz w:val="1"/>
                <w:szCs w:val="1"/>
                <w:color w:val="auto"/>
              </w:rPr>
            </w:pPr>
          </w:p>
        </w:tc>
      </w:tr>
      <w:tr>
        <w:trPr>
          <w:trHeight w:val="245"/>
        </w:trPr>
        <w:tc>
          <w:tcPr>
            <w:tcW w:w="4040" w:type="dxa"/>
            <w:vAlign w:val="bottom"/>
          </w:tcPr>
          <w:p>
            <w:pPr>
              <w:spacing w:after="0"/>
              <w:rPr>
                <w:sz w:val="21"/>
                <w:szCs w:val="21"/>
                <w:color w:val="auto"/>
              </w:rPr>
            </w:pPr>
          </w:p>
        </w:tc>
        <w:tc>
          <w:tcPr>
            <w:tcW w:w="1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05"/>
        </w:trPr>
        <w:tc>
          <w:tcPr>
            <w:tcW w:w="4040" w:type="dxa"/>
            <w:vAlign w:val="bottom"/>
          </w:tcPr>
          <w:p>
            <w:pPr>
              <w:ind w:left="620"/>
              <w:spacing w:after="0"/>
              <w:rPr>
                <w:sz w:val="20"/>
                <w:szCs w:val="20"/>
                <w:color w:val="auto"/>
              </w:rPr>
            </w:pPr>
            <w:r>
              <w:rPr>
                <w:rFonts w:ascii="Courier New" w:cs="Courier New" w:eastAsia="Courier New" w:hAnsi="Courier New"/>
                <w:sz w:val="15"/>
                <w:szCs w:val="15"/>
                <w:color w:val="auto"/>
              </w:rPr>
              <w:t>Loss from operations</w:t>
            </w:r>
          </w:p>
        </w:tc>
        <w:tc>
          <w:tcPr>
            <w:tcW w:w="1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(918,214)</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(4,951,577)</w:t>
            </w:r>
          </w:p>
        </w:tc>
        <w:tc>
          <w:tcPr>
            <w:tcW w:w="0" w:type="dxa"/>
            <w:vAlign w:val="bottom"/>
          </w:tcPr>
          <w:p>
            <w:pPr>
              <w:spacing w:after="0"/>
              <w:rPr>
                <w:sz w:val="1"/>
                <w:szCs w:val="1"/>
                <w:color w:val="auto"/>
              </w:rPr>
            </w:pPr>
          </w:p>
        </w:tc>
      </w:tr>
      <w:tr>
        <w:trPr>
          <w:trHeight w:val="259"/>
        </w:trPr>
        <w:tc>
          <w:tcPr>
            <w:tcW w:w="4040" w:type="dxa"/>
            <w:vAlign w:val="bottom"/>
          </w:tcPr>
          <w:p>
            <w:pPr>
              <w:spacing w:after="0"/>
              <w:rPr>
                <w:sz w:val="20"/>
                <w:szCs w:val="20"/>
                <w:color w:val="auto"/>
              </w:rPr>
            </w:pPr>
            <w:r>
              <w:rPr>
                <w:rFonts w:ascii="Courier New" w:cs="Courier New" w:eastAsia="Courier New" w:hAnsi="Courier New"/>
                <w:sz w:val="15"/>
                <w:szCs w:val="15"/>
                <w:color w:val="auto"/>
              </w:rPr>
              <w:t>Interest expenses</w:t>
            </w:r>
          </w:p>
        </w:tc>
        <w:tc>
          <w:tcPr>
            <w:tcW w:w="1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85,828</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58,695</w:t>
            </w:r>
          </w:p>
        </w:tc>
        <w:tc>
          <w:tcPr>
            <w:tcW w:w="0" w:type="dxa"/>
            <w:vAlign w:val="bottom"/>
          </w:tcPr>
          <w:p>
            <w:pPr>
              <w:spacing w:after="0"/>
              <w:rPr>
                <w:sz w:val="1"/>
                <w:szCs w:val="1"/>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expenses</w:t>
            </w:r>
          </w:p>
        </w:tc>
        <w:tc>
          <w:tcPr>
            <w:tcW w:w="1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111,837</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63,635</w:t>
            </w:r>
          </w:p>
        </w:tc>
        <w:tc>
          <w:tcPr>
            <w:tcW w:w="0" w:type="dxa"/>
            <w:vAlign w:val="bottom"/>
          </w:tcPr>
          <w:p>
            <w:pPr>
              <w:spacing w:after="0"/>
              <w:rPr>
                <w:sz w:val="1"/>
                <w:szCs w:val="1"/>
                <w:color w:val="auto"/>
              </w:rPr>
            </w:pPr>
          </w:p>
        </w:tc>
      </w:tr>
      <w:tr>
        <w:trPr>
          <w:trHeight w:val="245"/>
        </w:trPr>
        <w:tc>
          <w:tcPr>
            <w:tcW w:w="4040" w:type="dxa"/>
            <w:vAlign w:val="bottom"/>
          </w:tcPr>
          <w:p>
            <w:pPr>
              <w:spacing w:after="0"/>
              <w:rPr>
                <w:sz w:val="21"/>
                <w:szCs w:val="21"/>
                <w:color w:val="auto"/>
              </w:rPr>
            </w:pPr>
          </w:p>
        </w:tc>
        <w:tc>
          <w:tcPr>
            <w:tcW w:w="1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4040" w:type="dxa"/>
            <w:vAlign w:val="bottom"/>
          </w:tcPr>
          <w:p>
            <w:pPr>
              <w:ind w:left="980"/>
              <w:spacing w:after="0"/>
              <w:rPr>
                <w:sz w:val="20"/>
                <w:szCs w:val="20"/>
                <w:color w:val="auto"/>
              </w:rPr>
            </w:pPr>
            <w:r>
              <w:rPr>
                <w:rFonts w:ascii="Courier New" w:cs="Courier New" w:eastAsia="Courier New" w:hAnsi="Courier New"/>
                <w:sz w:val="15"/>
                <w:szCs w:val="15"/>
                <w:color w:val="auto"/>
              </w:rPr>
              <w:t>Loss before income tax benefit</w:t>
            </w:r>
          </w:p>
        </w:tc>
        <w:tc>
          <w:tcPr>
            <w:tcW w:w="1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(1,115,879)</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(5,073,907)</w:t>
            </w:r>
          </w:p>
        </w:tc>
        <w:tc>
          <w:tcPr>
            <w:tcW w:w="0" w:type="dxa"/>
            <w:vAlign w:val="bottom"/>
          </w:tcPr>
          <w:p>
            <w:pPr>
              <w:spacing w:after="0"/>
              <w:rPr>
                <w:sz w:val="1"/>
                <w:szCs w:val="1"/>
                <w:color w:val="auto"/>
              </w:rPr>
            </w:pPr>
          </w:p>
        </w:tc>
      </w:tr>
      <w:tr>
        <w:trPr>
          <w:trHeight w:val="259"/>
        </w:trPr>
        <w:tc>
          <w:tcPr>
            <w:tcW w:w="4040" w:type="dxa"/>
            <w:vAlign w:val="bottom"/>
          </w:tcPr>
          <w:p>
            <w:pPr>
              <w:spacing w:after="0"/>
              <w:rPr>
                <w:sz w:val="20"/>
                <w:szCs w:val="20"/>
                <w:color w:val="auto"/>
              </w:rPr>
            </w:pPr>
            <w:r>
              <w:rPr>
                <w:rFonts w:ascii="Courier New" w:cs="Courier New" w:eastAsia="Courier New" w:hAnsi="Courier New"/>
                <w:sz w:val="15"/>
                <w:szCs w:val="15"/>
                <w:color w:val="auto"/>
              </w:rPr>
              <w:t>Income tax benefit</w:t>
            </w:r>
          </w:p>
        </w:tc>
        <w:tc>
          <w:tcPr>
            <w:tcW w:w="1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292,330</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557,333</w:t>
            </w:r>
          </w:p>
        </w:tc>
        <w:tc>
          <w:tcPr>
            <w:tcW w:w="0" w:type="dxa"/>
            <w:vAlign w:val="bottom"/>
          </w:tcPr>
          <w:p>
            <w:pPr>
              <w:spacing w:after="0"/>
              <w:rPr>
                <w:sz w:val="1"/>
                <w:szCs w:val="1"/>
                <w:color w:val="auto"/>
              </w:rPr>
            </w:pPr>
          </w:p>
        </w:tc>
      </w:tr>
      <w:tr>
        <w:trPr>
          <w:trHeight w:val="245"/>
        </w:trPr>
        <w:tc>
          <w:tcPr>
            <w:tcW w:w="4040" w:type="dxa"/>
            <w:vAlign w:val="bottom"/>
          </w:tcPr>
          <w:p>
            <w:pPr>
              <w:spacing w:after="0"/>
              <w:rPr>
                <w:sz w:val="21"/>
                <w:szCs w:val="21"/>
                <w:color w:val="auto"/>
              </w:rPr>
            </w:pPr>
          </w:p>
        </w:tc>
        <w:tc>
          <w:tcPr>
            <w:tcW w:w="1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0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(823,549)</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$(4,516,574)</w:t>
            </w:r>
          </w:p>
        </w:tc>
        <w:tc>
          <w:tcPr>
            <w:tcW w:w="0" w:type="dxa"/>
            <w:vAlign w:val="bottom"/>
          </w:tcPr>
          <w:p>
            <w:pPr>
              <w:spacing w:after="0"/>
              <w:rPr>
                <w:sz w:val="1"/>
                <w:szCs w:val="1"/>
                <w:color w:val="auto"/>
              </w:rPr>
            </w:pPr>
          </w:p>
        </w:tc>
      </w:tr>
      <w:tr>
        <w:trPr>
          <w:trHeight w:val="245"/>
        </w:trPr>
        <w:tc>
          <w:tcPr>
            <w:tcW w:w="4040" w:type="dxa"/>
            <w:vAlign w:val="bottom"/>
          </w:tcPr>
          <w:p>
            <w:pPr>
              <w:spacing w:after="0"/>
              <w:rPr>
                <w:sz w:val="21"/>
                <w:szCs w:val="21"/>
                <w:color w:val="auto"/>
              </w:rPr>
            </w:pPr>
          </w:p>
        </w:tc>
        <w:tc>
          <w:tcPr>
            <w:tcW w:w="1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right="3839"/>
        <w:spacing w:after="0" w:line="344" w:lineRule="auto"/>
        <w:rPr>
          <w:sz w:val="20"/>
          <w:szCs w:val="20"/>
          <w:color w:val="auto"/>
        </w:rPr>
      </w:pPr>
      <w:r>
        <w:rPr>
          <w:rFonts w:ascii="Courier New" w:cs="Courier New" w:eastAsia="Courier New" w:hAnsi="Courier New"/>
          <w:sz w:val="15"/>
          <w:szCs w:val="15"/>
          <w:color w:val="auto"/>
        </w:rPr>
        <w:t>The accompanying notes are an integral part of the consolidated financial statements.</w:t>
      </w:r>
    </w:p>
    <w:p>
      <w:pPr>
        <w:spacing w:after="0" w:line="18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766" w:right="1440" w:bottom="1440" w:gutter="0" w:footer="0" w:header="0"/>
        </w:sectPr>
      </w:pPr>
    </w:p>
    <w:bookmarkStart w:id="15" w:name="page16"/>
    <w:bookmarkEnd w:id="15"/>
    <w:p>
      <w:pPr>
        <w:jc w:val="center"/>
        <w:ind w:right="4440"/>
        <w:spacing w:after="0"/>
        <w:rPr>
          <w:sz w:val="20"/>
          <w:szCs w:val="20"/>
          <w:color w:val="auto"/>
        </w:rPr>
      </w:pPr>
      <w:r>
        <w:rPr>
          <w:rFonts w:ascii="Courier New" w:cs="Courier New" w:eastAsia="Courier New" w:hAnsi="Courier New"/>
          <w:sz w:val="15"/>
          <w:szCs w:val="15"/>
          <w:color w:val="auto"/>
        </w:rPr>
        <w:t>GAMETEK (UK) LIMITED AND SUBSIDIARY</w:t>
      </w:r>
    </w:p>
    <w:p>
      <w:pPr>
        <w:spacing w:after="0" w:line="166"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5"/>
          <w:szCs w:val="15"/>
          <w:color w:val="auto"/>
        </w:rPr>
        <w:t>CONSOLIDATED STATEMENTS OF STOCKHOLDERS' EQUITY (DEFICIT)</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(in US Dollars)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00" w:type="dxa"/>
            <w:vAlign w:val="bottom"/>
          </w:tcPr>
          <w:p>
            <w:pPr>
              <w:ind w:left="340"/>
              <w:spacing w:after="0"/>
              <w:rPr>
                <w:sz w:val="20"/>
                <w:szCs w:val="20"/>
                <w:color w:val="auto"/>
              </w:rPr>
            </w:pPr>
            <w:r>
              <w:rPr>
                <w:rFonts w:ascii="Courier New" w:cs="Courier New" w:eastAsia="Courier New" w:hAnsi="Courier New"/>
                <w:sz w:val="15"/>
                <w:szCs w:val="15"/>
                <w:color w:val="auto"/>
              </w:rPr>
              <w:t>Retained</w:t>
            </w:r>
          </w:p>
        </w:tc>
        <w:tc>
          <w:tcPr>
            <w:tcW w:w="1620" w:type="dxa"/>
            <w:vAlign w:val="bottom"/>
            <w:gridSpan w:val="2"/>
            <w:vMerge w:val="restart"/>
          </w:tcPr>
          <w:p>
            <w:pPr>
              <w:ind w:left="320"/>
              <w:spacing w:after="0"/>
              <w:rPr>
                <w:sz w:val="20"/>
                <w:szCs w:val="20"/>
                <w:color w:val="auto"/>
              </w:rPr>
            </w:pPr>
            <w:r>
              <w:rPr>
                <w:rFonts w:ascii="Courier New" w:cs="Courier New" w:eastAsia="Courier New" w:hAnsi="Courier New"/>
                <w:sz w:val="15"/>
                <w:szCs w:val="15"/>
                <w:color w:val="auto"/>
              </w:rPr>
              <w:t>Cumulative</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00" w:type="dxa"/>
            <w:vAlign w:val="bottom"/>
          </w:tcPr>
          <w:p>
            <w:pPr>
              <w:spacing w:after="0"/>
              <w:rPr>
                <w:sz w:val="14"/>
                <w:szCs w:val="14"/>
                <w:color w:val="auto"/>
              </w:rPr>
            </w:pPr>
          </w:p>
        </w:tc>
        <w:tc>
          <w:tcPr>
            <w:tcW w:w="21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Common</w:t>
            </w:r>
          </w:p>
        </w:tc>
        <w:tc>
          <w:tcPr>
            <w:tcW w:w="1620" w:type="dxa"/>
            <w:vAlign w:val="bottom"/>
            <w:vMerge w:val="restart"/>
          </w:tcPr>
          <w:p>
            <w:pPr>
              <w:jc w:val="right"/>
              <w:ind w:right="987"/>
              <w:spacing w:after="0"/>
              <w:rPr>
                <w:sz w:val="20"/>
                <w:szCs w:val="20"/>
                <w:color w:val="auto"/>
              </w:rPr>
            </w:pPr>
            <w:r>
              <w:rPr>
                <w:rFonts w:ascii="Courier New" w:cs="Courier New" w:eastAsia="Courier New" w:hAnsi="Courier New"/>
                <w:sz w:val="15"/>
                <w:szCs w:val="15"/>
                <w:color w:val="auto"/>
              </w:rPr>
              <w:t>Stock</w:t>
            </w:r>
          </w:p>
        </w:tc>
        <w:tc>
          <w:tcPr>
            <w:tcW w:w="17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Earnings</w:t>
            </w:r>
          </w:p>
        </w:tc>
        <w:tc>
          <w:tcPr>
            <w:tcW w:w="1620" w:type="dxa"/>
            <w:vAlign w:val="bottom"/>
            <w:gridSpan w:val="2"/>
            <w:vMerge w:val="continue"/>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00" w:type="dxa"/>
            <w:vAlign w:val="bottom"/>
          </w:tcPr>
          <w:p>
            <w:pPr>
              <w:spacing w:after="0"/>
              <w:rPr>
                <w:sz w:val="14"/>
                <w:szCs w:val="14"/>
                <w:color w:val="auto"/>
              </w:rPr>
            </w:pPr>
          </w:p>
        </w:tc>
        <w:tc>
          <w:tcPr>
            <w:tcW w:w="210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17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(Accumulated</w:t>
            </w:r>
          </w:p>
        </w:tc>
        <w:tc>
          <w:tcPr>
            <w:tcW w:w="162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Translation</w:t>
            </w:r>
          </w:p>
        </w:tc>
        <w:tc>
          <w:tcPr>
            <w:tcW w:w="1300" w:type="dxa"/>
            <w:vAlign w:val="bottom"/>
            <w:vMerge w:val="restart"/>
          </w:tcPr>
          <w:p>
            <w:pPr>
              <w:jc w:val="right"/>
              <w:ind w:right="347"/>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168"/>
        </w:trPr>
        <w:tc>
          <w:tcPr>
            <w:tcW w:w="3200" w:type="dxa"/>
            <w:vAlign w:val="bottom"/>
          </w:tcPr>
          <w:p>
            <w:pPr>
              <w:spacing w:after="0"/>
              <w:rPr>
                <w:sz w:val="14"/>
                <w:szCs w:val="14"/>
                <w:color w:val="auto"/>
              </w:rPr>
            </w:pPr>
          </w:p>
        </w:tc>
        <w:tc>
          <w:tcPr>
            <w:tcW w:w="2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Shares</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Amount</w:t>
            </w:r>
          </w:p>
        </w:tc>
        <w:tc>
          <w:tcPr>
            <w:tcW w:w="17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Deficit)</w:t>
            </w:r>
          </w:p>
        </w:tc>
        <w:tc>
          <w:tcPr>
            <w:tcW w:w="162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Adjustment</w:t>
            </w: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200" w:type="dxa"/>
            <w:vAlign w:val="bottom"/>
          </w:tcPr>
          <w:p>
            <w:pPr>
              <w:spacing w:after="0"/>
              <w:rPr>
                <w:sz w:val="21"/>
                <w:szCs w:val="21"/>
                <w:color w:val="auto"/>
              </w:rPr>
            </w:pPr>
          </w:p>
        </w:tc>
        <w:tc>
          <w:tcPr>
            <w:tcW w:w="2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Balance, July 31, 1995</w:t>
            </w:r>
          </w:p>
        </w:tc>
        <w:tc>
          <w:tcPr>
            <w:tcW w:w="2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652,155</w:t>
            </w:r>
          </w:p>
        </w:tc>
        <w:tc>
          <w:tcPr>
            <w:tcW w:w="1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$ 1,010,840</w:t>
            </w:r>
          </w:p>
        </w:tc>
        <w:tc>
          <w:tcPr>
            <w:tcW w:w="17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$ 1,701,629</w:t>
            </w:r>
          </w:p>
        </w:tc>
        <w:tc>
          <w:tcPr>
            <w:tcW w:w="52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54,978</w:t>
            </w: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$ 2,767,447</w:t>
            </w:r>
          </w:p>
        </w:tc>
        <w:tc>
          <w:tcPr>
            <w:tcW w:w="0" w:type="dxa"/>
            <w:vAlign w:val="bottom"/>
          </w:tcPr>
          <w:p>
            <w:pPr>
              <w:spacing w:after="0"/>
              <w:rPr>
                <w:sz w:val="1"/>
                <w:szCs w:val="1"/>
                <w:color w:val="auto"/>
              </w:rPr>
            </w:pPr>
          </w:p>
        </w:tc>
      </w:tr>
      <w:tr>
        <w:trPr>
          <w:trHeight w:val="505"/>
        </w:trPr>
        <w:tc>
          <w:tcPr>
            <w:tcW w:w="320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2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(823,549)</w:t>
            </w: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(823,549)</w:t>
            </w:r>
          </w:p>
        </w:tc>
        <w:tc>
          <w:tcPr>
            <w:tcW w:w="0" w:type="dxa"/>
            <w:vAlign w:val="bottom"/>
          </w:tcPr>
          <w:p>
            <w:pPr>
              <w:spacing w:after="0"/>
              <w:rPr>
                <w:sz w:val="1"/>
                <w:szCs w:val="1"/>
                <w:color w:val="auto"/>
              </w:rPr>
            </w:pPr>
          </w:p>
        </w:tc>
      </w:tr>
      <w:tr>
        <w:trPr>
          <w:trHeight w:val="259"/>
        </w:trPr>
        <w:tc>
          <w:tcPr>
            <w:tcW w:w="3200" w:type="dxa"/>
            <w:vAlign w:val="bottom"/>
          </w:tcPr>
          <w:p>
            <w:pPr>
              <w:spacing w:after="0"/>
              <w:rPr>
                <w:sz w:val="20"/>
                <w:szCs w:val="20"/>
                <w:color w:val="auto"/>
              </w:rPr>
            </w:pPr>
            <w:r>
              <w:rPr>
                <w:rFonts w:ascii="Courier New" w:cs="Courier New" w:eastAsia="Courier New" w:hAnsi="Courier New"/>
                <w:sz w:val="15"/>
                <w:szCs w:val="15"/>
                <w:color w:val="auto"/>
              </w:rPr>
              <w:t>Foreign currency translation</w:t>
            </w:r>
          </w:p>
        </w:tc>
        <w:tc>
          <w:tcPr>
            <w:tcW w:w="210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2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700" w:type="dxa"/>
            <w:vAlign w:val="bottom"/>
            <w:vMerge w:val="restart"/>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22"/>
                <w:szCs w:val="22"/>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(40,452)</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(40,452)</w:t>
            </w:r>
          </w:p>
        </w:tc>
        <w:tc>
          <w:tcPr>
            <w:tcW w:w="0" w:type="dxa"/>
            <w:vAlign w:val="bottom"/>
          </w:tcPr>
          <w:p>
            <w:pPr>
              <w:spacing w:after="0"/>
              <w:rPr>
                <w:sz w:val="1"/>
                <w:szCs w:val="1"/>
                <w:color w:val="auto"/>
              </w:rPr>
            </w:pPr>
          </w:p>
        </w:tc>
      </w:tr>
      <w:tr>
        <w:trPr>
          <w:trHeight w:val="168"/>
        </w:trPr>
        <w:tc>
          <w:tcPr>
            <w:tcW w:w="3200" w:type="dxa"/>
            <w:vAlign w:val="bottom"/>
            <w:vMerge w:val="restart"/>
          </w:tcPr>
          <w:p>
            <w:pPr>
              <w:spacing w:after="0"/>
              <w:rPr>
                <w:sz w:val="20"/>
                <w:szCs w:val="20"/>
                <w:color w:val="auto"/>
              </w:rPr>
            </w:pPr>
            <w:r>
              <w:rPr>
                <w:rFonts w:ascii="Courier New" w:cs="Courier New" w:eastAsia="Courier New" w:hAnsi="Courier New"/>
                <w:sz w:val="15"/>
                <w:szCs w:val="15"/>
                <w:color w:val="auto"/>
              </w:rPr>
              <w:t>Balance, July 31, 1996</w:t>
            </w:r>
          </w:p>
        </w:tc>
        <w:tc>
          <w:tcPr>
            <w:tcW w:w="210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6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3200" w:type="dxa"/>
            <w:vAlign w:val="bottom"/>
            <w:vMerge w:val="continue"/>
          </w:tcPr>
          <w:p>
            <w:pPr>
              <w:spacing w:after="0"/>
              <w:rPr>
                <w:sz w:val="21"/>
                <w:szCs w:val="21"/>
                <w:color w:val="auto"/>
              </w:rPr>
            </w:pPr>
          </w:p>
        </w:tc>
        <w:tc>
          <w:tcPr>
            <w:tcW w:w="2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652,155</w:t>
            </w:r>
          </w:p>
        </w:tc>
        <w:tc>
          <w:tcPr>
            <w:tcW w:w="1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1,010,840</w:t>
            </w:r>
          </w:p>
        </w:tc>
        <w:tc>
          <w:tcPr>
            <w:tcW w:w="17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878,080</w:t>
            </w:r>
          </w:p>
        </w:tc>
        <w:tc>
          <w:tcPr>
            <w:tcW w:w="520" w:type="dxa"/>
            <w:vAlign w:val="bottom"/>
          </w:tcPr>
          <w:p>
            <w:pPr>
              <w:spacing w:after="0"/>
              <w:rPr>
                <w:sz w:val="21"/>
                <w:szCs w:val="21"/>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14,526</w:t>
            </w: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1,903,446</w:t>
            </w:r>
          </w:p>
        </w:tc>
        <w:tc>
          <w:tcPr>
            <w:tcW w:w="0" w:type="dxa"/>
            <w:vAlign w:val="bottom"/>
          </w:tcPr>
          <w:p>
            <w:pPr>
              <w:spacing w:after="0"/>
              <w:rPr>
                <w:sz w:val="1"/>
                <w:szCs w:val="1"/>
                <w:color w:val="auto"/>
              </w:rPr>
            </w:pP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Issuance of common stock</w:t>
            </w:r>
          </w:p>
        </w:tc>
        <w:tc>
          <w:tcPr>
            <w:tcW w:w="2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1,025,601</w:t>
            </w:r>
          </w:p>
        </w:tc>
        <w:tc>
          <w:tcPr>
            <w:tcW w:w="1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1,681,986</w:t>
            </w:r>
          </w:p>
        </w:tc>
        <w:tc>
          <w:tcPr>
            <w:tcW w:w="1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1,681,986</w:t>
            </w:r>
          </w:p>
        </w:tc>
        <w:tc>
          <w:tcPr>
            <w:tcW w:w="0" w:type="dxa"/>
            <w:vAlign w:val="bottom"/>
          </w:tcPr>
          <w:p>
            <w:pPr>
              <w:spacing w:after="0"/>
              <w:rPr>
                <w:sz w:val="1"/>
                <w:szCs w:val="1"/>
                <w:color w:val="auto"/>
              </w:rPr>
            </w:pP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2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(4,516,574)</w:t>
            </w: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(4,516,574)</w:t>
            </w:r>
          </w:p>
        </w:tc>
        <w:tc>
          <w:tcPr>
            <w:tcW w:w="0" w:type="dxa"/>
            <w:vAlign w:val="bottom"/>
          </w:tcPr>
          <w:p>
            <w:pPr>
              <w:spacing w:after="0"/>
              <w:rPr>
                <w:sz w:val="1"/>
                <w:szCs w:val="1"/>
                <w:color w:val="auto"/>
              </w:rPr>
            </w:pPr>
          </w:p>
        </w:tc>
      </w:tr>
      <w:tr>
        <w:trPr>
          <w:trHeight w:val="259"/>
        </w:trPr>
        <w:tc>
          <w:tcPr>
            <w:tcW w:w="3200" w:type="dxa"/>
            <w:vAlign w:val="bottom"/>
          </w:tcPr>
          <w:p>
            <w:pPr>
              <w:spacing w:after="0"/>
              <w:rPr>
                <w:sz w:val="20"/>
                <w:szCs w:val="20"/>
                <w:color w:val="auto"/>
              </w:rPr>
            </w:pPr>
            <w:r>
              <w:rPr>
                <w:rFonts w:ascii="Courier New" w:cs="Courier New" w:eastAsia="Courier New" w:hAnsi="Courier New"/>
                <w:sz w:val="15"/>
                <w:szCs w:val="15"/>
                <w:color w:val="auto"/>
              </w:rPr>
              <w:t>Foreign currency translation</w:t>
            </w:r>
          </w:p>
        </w:tc>
        <w:tc>
          <w:tcPr>
            <w:tcW w:w="210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2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700" w:type="dxa"/>
            <w:vAlign w:val="bottom"/>
            <w:vMerge w:val="restart"/>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22"/>
                <w:szCs w:val="22"/>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76,448</w:t>
            </w: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76,448</w:t>
            </w:r>
          </w:p>
        </w:tc>
        <w:tc>
          <w:tcPr>
            <w:tcW w:w="0" w:type="dxa"/>
            <w:vAlign w:val="bottom"/>
          </w:tcPr>
          <w:p>
            <w:pPr>
              <w:spacing w:after="0"/>
              <w:rPr>
                <w:sz w:val="1"/>
                <w:szCs w:val="1"/>
                <w:color w:val="auto"/>
              </w:rPr>
            </w:pPr>
          </w:p>
        </w:tc>
      </w:tr>
      <w:tr>
        <w:trPr>
          <w:trHeight w:val="245"/>
        </w:trPr>
        <w:tc>
          <w:tcPr>
            <w:tcW w:w="3200" w:type="dxa"/>
            <w:vAlign w:val="bottom"/>
          </w:tcPr>
          <w:p>
            <w:pPr>
              <w:spacing w:after="0"/>
              <w:rPr>
                <w:sz w:val="21"/>
                <w:szCs w:val="21"/>
                <w:color w:val="auto"/>
              </w:rPr>
            </w:pPr>
          </w:p>
        </w:tc>
        <w:tc>
          <w:tcPr>
            <w:tcW w:w="2100" w:type="dxa"/>
            <w:vAlign w:val="bottom"/>
            <w:vMerge w:val="continue"/>
          </w:tcPr>
          <w:p>
            <w:pPr>
              <w:spacing w:after="0"/>
              <w:rPr>
                <w:sz w:val="21"/>
                <w:szCs w:val="21"/>
                <w:color w:val="auto"/>
              </w:rPr>
            </w:pPr>
          </w:p>
        </w:tc>
        <w:tc>
          <w:tcPr>
            <w:tcW w:w="1620" w:type="dxa"/>
            <w:vAlign w:val="bottom"/>
            <w:vMerge w:val="continue"/>
          </w:tcPr>
          <w:p>
            <w:pPr>
              <w:spacing w:after="0"/>
              <w:rPr>
                <w:sz w:val="21"/>
                <w:szCs w:val="21"/>
                <w:color w:val="auto"/>
              </w:rPr>
            </w:pPr>
          </w:p>
        </w:tc>
        <w:tc>
          <w:tcPr>
            <w:tcW w:w="1700" w:type="dxa"/>
            <w:vAlign w:val="bottom"/>
            <w:vMerge w:val="continue"/>
          </w:tcPr>
          <w:p>
            <w:pPr>
              <w:spacing w:after="0"/>
              <w:rPr>
                <w:sz w:val="21"/>
                <w:szCs w:val="21"/>
                <w:color w:val="auto"/>
              </w:rPr>
            </w:pPr>
          </w:p>
        </w:tc>
        <w:tc>
          <w:tcPr>
            <w:tcW w:w="16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200" w:type="dxa"/>
            <w:vAlign w:val="bottom"/>
          </w:tcPr>
          <w:p>
            <w:pPr>
              <w:spacing w:after="0"/>
              <w:rPr>
                <w:sz w:val="20"/>
                <w:szCs w:val="20"/>
                <w:color w:val="auto"/>
              </w:rPr>
            </w:pPr>
            <w:r>
              <w:rPr>
                <w:rFonts w:ascii="Courier New" w:cs="Courier New" w:eastAsia="Courier New" w:hAnsi="Courier New"/>
                <w:sz w:val="15"/>
                <w:szCs w:val="15"/>
                <w:color w:val="auto"/>
              </w:rPr>
              <w:t>Balance, July 29, 1997</w:t>
            </w:r>
          </w:p>
        </w:tc>
        <w:tc>
          <w:tcPr>
            <w:tcW w:w="2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1,677,756</w:t>
            </w:r>
          </w:p>
        </w:tc>
        <w:tc>
          <w:tcPr>
            <w:tcW w:w="1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$ 2,692,826</w:t>
            </w:r>
          </w:p>
        </w:tc>
        <w:tc>
          <w:tcPr>
            <w:tcW w:w="1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$(3,638,494)</w:t>
            </w:r>
          </w:p>
        </w:tc>
        <w:tc>
          <w:tcPr>
            <w:tcW w:w="52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90,974</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  (854,694)</w:t>
            </w:r>
          </w:p>
        </w:tc>
        <w:tc>
          <w:tcPr>
            <w:tcW w:w="0" w:type="dxa"/>
            <w:vAlign w:val="bottom"/>
          </w:tcPr>
          <w:p>
            <w:pPr>
              <w:spacing w:after="0"/>
              <w:rPr>
                <w:sz w:val="1"/>
                <w:szCs w:val="1"/>
                <w:color w:val="auto"/>
              </w:rPr>
            </w:pPr>
          </w:p>
        </w:tc>
      </w:tr>
      <w:tr>
        <w:trPr>
          <w:trHeight w:val="245"/>
        </w:trPr>
        <w:tc>
          <w:tcPr>
            <w:tcW w:w="3200" w:type="dxa"/>
            <w:vAlign w:val="bottom"/>
          </w:tcPr>
          <w:p>
            <w:pPr>
              <w:spacing w:after="0"/>
              <w:rPr>
                <w:sz w:val="21"/>
                <w:szCs w:val="21"/>
                <w:color w:val="auto"/>
              </w:rPr>
            </w:pPr>
          </w:p>
        </w:tc>
        <w:tc>
          <w:tcPr>
            <w:tcW w:w="2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right="5140"/>
        <w:spacing w:after="0" w:line="344" w:lineRule="auto"/>
        <w:rPr>
          <w:sz w:val="20"/>
          <w:szCs w:val="20"/>
          <w:color w:val="auto"/>
        </w:rPr>
      </w:pPr>
      <w:r>
        <w:rPr>
          <w:rFonts w:ascii="Courier New" w:cs="Courier New" w:eastAsia="Courier New" w:hAnsi="Courier New"/>
          <w:sz w:val="15"/>
          <w:szCs w:val="15"/>
          <w:color w:val="auto"/>
        </w:rPr>
        <w:t>The accompanying notes are an integral part of the consolidated financial statements.</w:t>
      </w:r>
    </w:p>
    <w:p>
      <w:pPr>
        <w:spacing w:after="0" w:line="1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1540"/>
          </w:cols>
          <w:pgMar w:left="220" w:top="766" w:right="139" w:bottom="1440" w:gutter="0" w:footer="0" w:header="0"/>
        </w:sectPr>
      </w:pPr>
    </w:p>
    <w:bookmarkStart w:id="16" w:name="page17"/>
    <w:bookmarkEnd w:id="16"/>
    <w:p>
      <w:pPr>
        <w:jc w:val="center"/>
        <w:ind w:right="3139"/>
        <w:spacing w:after="0"/>
        <w:rPr>
          <w:sz w:val="20"/>
          <w:szCs w:val="20"/>
          <w:color w:val="auto"/>
        </w:rPr>
      </w:pPr>
      <w:r>
        <w:rPr>
          <w:rFonts w:ascii="Courier New" w:cs="Courier New" w:eastAsia="Courier New" w:hAnsi="Courier New"/>
          <w:sz w:val="15"/>
          <w:szCs w:val="15"/>
          <w:color w:val="auto"/>
        </w:rPr>
        <w:t>GAMETEK (UK) LIMITED AND SUBSIDIARY</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(in US Dollars)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July 31,</w:t>
            </w:r>
          </w:p>
        </w:tc>
        <w:tc>
          <w:tcPr>
            <w:tcW w:w="11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July 29,</w:t>
            </w:r>
          </w:p>
        </w:tc>
        <w:tc>
          <w:tcPr>
            <w:tcW w:w="0" w:type="dxa"/>
            <w:vAlign w:val="bottom"/>
          </w:tcPr>
          <w:p>
            <w:pPr>
              <w:spacing w:after="0"/>
              <w:rPr>
                <w:sz w:val="1"/>
                <w:szCs w:val="1"/>
                <w:color w:val="auto"/>
              </w:rPr>
            </w:pPr>
          </w:p>
        </w:tc>
      </w:tr>
      <w:tr>
        <w:trPr>
          <w:trHeight w:val="168"/>
        </w:trPr>
        <w:tc>
          <w:tcPr>
            <w:tcW w:w="518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1996</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45"/>
        </w:trPr>
        <w:tc>
          <w:tcPr>
            <w:tcW w:w="5180" w:type="dxa"/>
            <w:vAlign w:val="bottom"/>
          </w:tcPr>
          <w:p>
            <w:pPr>
              <w:spacing w:after="0"/>
              <w:rPr>
                <w:sz w:val="21"/>
                <w:szCs w:val="21"/>
                <w:color w:val="auto"/>
              </w:rPr>
            </w:pPr>
          </w:p>
        </w:tc>
        <w:tc>
          <w:tcPr>
            <w:tcW w:w="14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18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4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(823,549)</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$(4,516,574)</w:t>
            </w:r>
          </w:p>
        </w:tc>
        <w:tc>
          <w:tcPr>
            <w:tcW w:w="0" w:type="dxa"/>
            <w:vAlign w:val="bottom"/>
          </w:tcPr>
          <w:p>
            <w:pPr>
              <w:spacing w:after="0"/>
              <w:rPr>
                <w:sz w:val="1"/>
                <w:szCs w:val="1"/>
                <w:color w:val="auto"/>
              </w:rPr>
            </w:pPr>
          </w:p>
        </w:tc>
      </w:tr>
      <w:tr>
        <w:trPr>
          <w:trHeight w:val="168"/>
        </w:trPr>
        <w:tc>
          <w:tcPr>
            <w:tcW w:w="51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loss</w:t>
            </w:r>
          </w:p>
        </w:tc>
        <w:tc>
          <w:tcPr>
            <w:tcW w:w="4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Adjustments to reconcile net loss to net cash used in</w:t>
            </w: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operating activities:</w:t>
            </w:r>
          </w:p>
        </w:tc>
        <w:tc>
          <w:tcPr>
            <w:tcW w:w="420" w:type="dxa"/>
            <w:vAlign w:val="bottom"/>
          </w:tcPr>
          <w:p>
            <w:pPr>
              <w:spacing w:after="0"/>
              <w:rPr>
                <w:sz w:val="14"/>
                <w:szCs w:val="14"/>
                <w:color w:val="auto"/>
              </w:rPr>
            </w:pPr>
          </w:p>
        </w:tc>
        <w:tc>
          <w:tcPr>
            <w:tcW w:w="10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118,987</w:t>
            </w:r>
          </w:p>
        </w:tc>
        <w:tc>
          <w:tcPr>
            <w:tcW w:w="11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88,372</w:t>
            </w:r>
          </w:p>
        </w:tc>
        <w:tc>
          <w:tcPr>
            <w:tcW w:w="0" w:type="dxa"/>
            <w:vAlign w:val="bottom"/>
          </w:tcPr>
          <w:p>
            <w:pPr>
              <w:spacing w:after="0"/>
              <w:rPr>
                <w:sz w:val="1"/>
                <w:szCs w:val="1"/>
                <w:color w:val="auto"/>
              </w:rPr>
            </w:pPr>
          </w:p>
        </w:tc>
      </w:tr>
      <w:tr>
        <w:trPr>
          <w:trHeight w:val="168"/>
        </w:trPr>
        <w:tc>
          <w:tcPr>
            <w:tcW w:w="5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Depreciation</w:t>
            </w:r>
          </w:p>
        </w:tc>
        <w:tc>
          <w:tcPr>
            <w:tcW w:w="4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Amortization of prepaid royalties</w:t>
            </w:r>
          </w:p>
        </w:tc>
        <w:tc>
          <w:tcPr>
            <w:tcW w:w="42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512,614</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121,523</w:t>
            </w:r>
          </w:p>
        </w:tc>
        <w:tc>
          <w:tcPr>
            <w:tcW w:w="0" w:type="dxa"/>
            <w:vAlign w:val="bottom"/>
          </w:tcPr>
          <w:p>
            <w:pPr>
              <w:spacing w:after="0"/>
              <w:rPr>
                <w:sz w:val="1"/>
                <w:szCs w:val="1"/>
                <w:color w:val="auto"/>
              </w:rPr>
            </w:pPr>
          </w:p>
        </w:tc>
      </w:tr>
      <w:tr>
        <w:trPr>
          <w:trHeight w:val="168"/>
        </w:trPr>
        <w:tc>
          <w:tcPr>
            <w:tcW w:w="5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Impairment of prepaid royalties</w:t>
            </w:r>
          </w:p>
        </w:tc>
        <w:tc>
          <w:tcPr>
            <w:tcW w:w="42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52,675</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518,278</w:t>
            </w:r>
          </w:p>
        </w:tc>
        <w:tc>
          <w:tcPr>
            <w:tcW w:w="0" w:type="dxa"/>
            <w:vAlign w:val="bottom"/>
          </w:tcPr>
          <w:p>
            <w:pPr>
              <w:spacing w:after="0"/>
              <w:rPr>
                <w:sz w:val="1"/>
                <w:szCs w:val="1"/>
                <w:color w:val="auto"/>
              </w:rPr>
            </w:pPr>
          </w:p>
        </w:tc>
      </w:tr>
      <w:tr>
        <w:trPr>
          <w:trHeight w:val="168"/>
        </w:trPr>
        <w:tc>
          <w:tcPr>
            <w:tcW w:w="5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Provision for bad debts and returns allowances</w:t>
            </w:r>
          </w:p>
        </w:tc>
        <w:tc>
          <w:tcPr>
            <w:tcW w:w="42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348,578</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(168,994)</w:t>
            </w:r>
          </w:p>
        </w:tc>
        <w:tc>
          <w:tcPr>
            <w:tcW w:w="0" w:type="dxa"/>
            <w:vAlign w:val="bottom"/>
          </w:tcPr>
          <w:p>
            <w:pPr>
              <w:spacing w:after="0"/>
              <w:rPr>
                <w:sz w:val="1"/>
                <w:szCs w:val="1"/>
                <w:color w:val="auto"/>
              </w:rPr>
            </w:pPr>
          </w:p>
        </w:tc>
      </w:tr>
      <w:tr>
        <w:trPr>
          <w:trHeight w:val="168"/>
        </w:trPr>
        <w:tc>
          <w:tcPr>
            <w:tcW w:w="5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Provision for inventory obsolescence</w:t>
            </w:r>
          </w:p>
        </w:tc>
        <w:tc>
          <w:tcPr>
            <w:tcW w:w="42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29,411</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(71,679)</w:t>
            </w:r>
          </w:p>
        </w:tc>
        <w:tc>
          <w:tcPr>
            <w:tcW w:w="0" w:type="dxa"/>
            <w:vAlign w:val="bottom"/>
          </w:tcPr>
          <w:p>
            <w:pPr>
              <w:spacing w:after="0"/>
              <w:rPr>
                <w:sz w:val="1"/>
                <w:szCs w:val="1"/>
                <w:color w:val="auto"/>
              </w:rPr>
            </w:pPr>
          </w:p>
        </w:tc>
      </w:tr>
      <w:tr>
        <w:trPr>
          <w:trHeight w:val="168"/>
        </w:trPr>
        <w:tc>
          <w:tcPr>
            <w:tcW w:w="5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Loss on disposal of property and equipment</w:t>
            </w:r>
          </w:p>
        </w:tc>
        <w:tc>
          <w:tcPr>
            <w:tcW w:w="42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12,062</w:t>
            </w:r>
          </w:p>
        </w:tc>
        <w:tc>
          <w:tcPr>
            <w:tcW w:w="0" w:type="dxa"/>
            <w:vAlign w:val="bottom"/>
          </w:tcPr>
          <w:p>
            <w:pPr>
              <w:spacing w:after="0"/>
              <w:rPr>
                <w:sz w:val="1"/>
                <w:szCs w:val="1"/>
                <w:color w:val="auto"/>
              </w:rPr>
            </w:pPr>
          </w:p>
        </w:tc>
      </w:tr>
      <w:tr>
        <w:trPr>
          <w:trHeight w:val="168"/>
        </w:trPr>
        <w:tc>
          <w:tcPr>
            <w:tcW w:w="51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Changes in operating assets and liabilities:</w:t>
            </w:r>
          </w:p>
        </w:tc>
        <w:tc>
          <w:tcPr>
            <w:tcW w:w="420" w:type="dxa"/>
            <w:vAlign w:val="bottom"/>
          </w:tcPr>
          <w:p>
            <w:pPr>
              <w:spacing w:after="0"/>
              <w:rPr>
                <w:sz w:val="14"/>
                <w:szCs w:val="14"/>
                <w:color w:val="auto"/>
              </w:rPr>
            </w:pPr>
          </w:p>
        </w:tc>
        <w:tc>
          <w:tcPr>
            <w:tcW w:w="10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875,528</w:t>
            </w:r>
          </w:p>
        </w:tc>
        <w:tc>
          <w:tcPr>
            <w:tcW w:w="11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2,264,942</w:t>
            </w:r>
          </w:p>
        </w:tc>
        <w:tc>
          <w:tcPr>
            <w:tcW w:w="0" w:type="dxa"/>
            <w:vAlign w:val="bottom"/>
          </w:tcPr>
          <w:p>
            <w:pPr>
              <w:spacing w:after="0"/>
              <w:rPr>
                <w:sz w:val="1"/>
                <w:szCs w:val="1"/>
                <w:color w:val="auto"/>
              </w:rPr>
            </w:pPr>
          </w:p>
        </w:tc>
      </w:tr>
      <w:tr>
        <w:trPr>
          <w:trHeight w:val="168"/>
        </w:trPr>
        <w:tc>
          <w:tcPr>
            <w:tcW w:w="5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Decrease in accounts receivable</w:t>
            </w:r>
          </w:p>
        </w:tc>
        <w:tc>
          <w:tcPr>
            <w:tcW w:w="4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(Increase)/decrease in other current assets</w:t>
            </w:r>
          </w:p>
        </w:tc>
        <w:tc>
          <w:tcPr>
            <w:tcW w:w="42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(603,162)</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1,148,481</w:t>
            </w:r>
          </w:p>
        </w:tc>
        <w:tc>
          <w:tcPr>
            <w:tcW w:w="0" w:type="dxa"/>
            <w:vAlign w:val="bottom"/>
          </w:tcPr>
          <w:p>
            <w:pPr>
              <w:spacing w:after="0"/>
              <w:rPr>
                <w:sz w:val="1"/>
                <w:szCs w:val="1"/>
                <w:color w:val="auto"/>
              </w:rPr>
            </w:pPr>
          </w:p>
        </w:tc>
      </w:tr>
      <w:tr>
        <w:trPr>
          <w:trHeight w:val="168"/>
        </w:trPr>
        <w:tc>
          <w:tcPr>
            <w:tcW w:w="5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(Increase)/decrease in inventories</w:t>
            </w:r>
          </w:p>
        </w:tc>
        <w:tc>
          <w:tcPr>
            <w:tcW w:w="42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(144,816)</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510,273</w:t>
            </w:r>
          </w:p>
        </w:tc>
        <w:tc>
          <w:tcPr>
            <w:tcW w:w="0" w:type="dxa"/>
            <w:vAlign w:val="bottom"/>
          </w:tcPr>
          <w:p>
            <w:pPr>
              <w:spacing w:after="0"/>
              <w:rPr>
                <w:sz w:val="1"/>
                <w:szCs w:val="1"/>
                <w:color w:val="auto"/>
              </w:rPr>
            </w:pPr>
          </w:p>
        </w:tc>
      </w:tr>
      <w:tr>
        <w:trPr>
          <w:trHeight w:val="168"/>
        </w:trPr>
        <w:tc>
          <w:tcPr>
            <w:tcW w:w="5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Increase in corporation tax receivable</w:t>
            </w:r>
          </w:p>
        </w:tc>
        <w:tc>
          <w:tcPr>
            <w:tcW w:w="42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(294,216)</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(672,126)</w:t>
            </w:r>
          </w:p>
        </w:tc>
        <w:tc>
          <w:tcPr>
            <w:tcW w:w="0" w:type="dxa"/>
            <w:vAlign w:val="bottom"/>
          </w:tcPr>
          <w:p>
            <w:pPr>
              <w:spacing w:after="0"/>
              <w:rPr>
                <w:sz w:val="1"/>
                <w:szCs w:val="1"/>
                <w:color w:val="auto"/>
              </w:rPr>
            </w:pPr>
          </w:p>
        </w:tc>
      </w:tr>
      <w:tr>
        <w:trPr>
          <w:trHeight w:val="168"/>
        </w:trPr>
        <w:tc>
          <w:tcPr>
            <w:tcW w:w="5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(Decrease)/increase in accounts payable</w:t>
            </w:r>
          </w:p>
        </w:tc>
        <w:tc>
          <w:tcPr>
            <w:tcW w:w="42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(626,137)</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294,408</w:t>
            </w:r>
          </w:p>
        </w:tc>
        <w:tc>
          <w:tcPr>
            <w:tcW w:w="0" w:type="dxa"/>
            <w:vAlign w:val="bottom"/>
          </w:tcPr>
          <w:p>
            <w:pPr>
              <w:spacing w:after="0"/>
              <w:rPr>
                <w:sz w:val="1"/>
                <w:szCs w:val="1"/>
                <w:color w:val="auto"/>
              </w:rPr>
            </w:pPr>
          </w:p>
        </w:tc>
      </w:tr>
      <w:tr>
        <w:trPr>
          <w:trHeight w:val="168"/>
        </w:trPr>
        <w:tc>
          <w:tcPr>
            <w:tcW w:w="5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Increase/(decrease) in accrued expenses</w:t>
            </w:r>
          </w:p>
        </w:tc>
        <w:tc>
          <w:tcPr>
            <w:tcW w:w="42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161,848</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(40,480)</w:t>
            </w:r>
          </w:p>
        </w:tc>
        <w:tc>
          <w:tcPr>
            <w:tcW w:w="0" w:type="dxa"/>
            <w:vAlign w:val="bottom"/>
          </w:tcPr>
          <w:p>
            <w:pPr>
              <w:spacing w:after="0"/>
              <w:rPr>
                <w:sz w:val="1"/>
                <w:szCs w:val="1"/>
                <w:color w:val="auto"/>
              </w:rPr>
            </w:pPr>
          </w:p>
        </w:tc>
      </w:tr>
      <w:tr>
        <w:trPr>
          <w:trHeight w:val="168"/>
        </w:trPr>
        <w:tc>
          <w:tcPr>
            <w:tcW w:w="5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Increase in other accounts payable</w:t>
            </w:r>
          </w:p>
        </w:tc>
        <w:tc>
          <w:tcPr>
            <w:tcW w:w="42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217,818</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1,285,030</w:t>
            </w:r>
          </w:p>
        </w:tc>
        <w:tc>
          <w:tcPr>
            <w:tcW w:w="0" w:type="dxa"/>
            <w:vAlign w:val="bottom"/>
          </w:tcPr>
          <w:p>
            <w:pPr>
              <w:spacing w:after="0"/>
              <w:rPr>
                <w:sz w:val="1"/>
                <w:szCs w:val="1"/>
                <w:color w:val="auto"/>
              </w:rPr>
            </w:pPr>
          </w:p>
        </w:tc>
      </w:tr>
      <w:tr>
        <w:trPr>
          <w:trHeight w:val="245"/>
        </w:trPr>
        <w:tc>
          <w:tcPr>
            <w:tcW w:w="5180" w:type="dxa"/>
            <w:vAlign w:val="bottom"/>
          </w:tcPr>
          <w:p>
            <w:pPr>
              <w:ind w:left="440"/>
              <w:spacing w:after="0"/>
              <w:rPr>
                <w:sz w:val="20"/>
                <w:szCs w:val="20"/>
                <w:color w:val="auto"/>
              </w:rPr>
            </w:pPr>
            <w:r>
              <w:rPr>
                <w:rFonts w:ascii="Courier New" w:cs="Courier New" w:eastAsia="Courier New" w:hAnsi="Courier New"/>
                <w:sz w:val="15"/>
                <w:szCs w:val="15"/>
                <w:color w:val="auto"/>
              </w:rPr>
              <w:t>Decrease in royalties payable</w:t>
            </w:r>
          </w:p>
        </w:tc>
        <w:tc>
          <w:tcPr>
            <w:tcW w:w="420" w:type="dxa"/>
            <w:vAlign w:val="bottom"/>
          </w:tcPr>
          <w:p>
            <w:pPr>
              <w:spacing w:after="0"/>
              <w:rPr>
                <w:sz w:val="21"/>
                <w:szCs w:val="21"/>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(432,293)</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(153,589)</w:t>
            </w:r>
          </w:p>
        </w:tc>
        <w:tc>
          <w:tcPr>
            <w:tcW w:w="0" w:type="dxa"/>
            <w:vAlign w:val="bottom"/>
          </w:tcPr>
          <w:p>
            <w:pPr>
              <w:spacing w:after="0"/>
              <w:rPr>
                <w:sz w:val="1"/>
                <w:szCs w:val="1"/>
                <w:color w:val="auto"/>
              </w:rPr>
            </w:pPr>
          </w:p>
        </w:tc>
      </w:tr>
      <w:tr>
        <w:trPr>
          <w:trHeight w:val="259"/>
        </w:trPr>
        <w:tc>
          <w:tcPr>
            <w:tcW w:w="5180" w:type="dxa"/>
            <w:vAlign w:val="bottom"/>
            <w:vMerge w:val="restart"/>
          </w:tcPr>
          <w:p>
            <w:pPr>
              <w:spacing w:after="0"/>
              <w:rPr>
                <w:sz w:val="20"/>
                <w:szCs w:val="20"/>
                <w:color w:val="auto"/>
              </w:rPr>
            </w:pPr>
            <w:r>
              <w:rPr>
                <w:rFonts w:ascii="Courier New" w:cs="Courier New" w:eastAsia="Courier New" w:hAnsi="Courier New"/>
                <w:sz w:val="15"/>
                <w:szCs w:val="15"/>
                <w:color w:val="auto"/>
              </w:rPr>
              <w:t>Net cash (used in)/provided by operating activities</w:t>
            </w:r>
          </w:p>
        </w:tc>
        <w:tc>
          <w:tcPr>
            <w:tcW w:w="14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1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(606,714)</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619,927</w:t>
            </w:r>
          </w:p>
        </w:tc>
        <w:tc>
          <w:tcPr>
            <w:tcW w:w="0" w:type="dxa"/>
            <w:vAlign w:val="bottom"/>
          </w:tcPr>
          <w:p>
            <w:pPr>
              <w:spacing w:after="0"/>
              <w:rPr>
                <w:sz w:val="1"/>
                <w:szCs w:val="1"/>
                <w:color w:val="auto"/>
              </w:rPr>
            </w:pPr>
          </w:p>
        </w:tc>
      </w:tr>
      <w:tr>
        <w:trPr>
          <w:trHeight w:val="245"/>
        </w:trPr>
        <w:tc>
          <w:tcPr>
            <w:tcW w:w="5180" w:type="dxa"/>
            <w:vAlign w:val="bottom"/>
          </w:tcPr>
          <w:p>
            <w:pPr>
              <w:spacing w:after="0"/>
              <w:rPr>
                <w:sz w:val="21"/>
                <w:szCs w:val="21"/>
                <w:color w:val="auto"/>
              </w:rPr>
            </w:pPr>
          </w:p>
        </w:tc>
        <w:tc>
          <w:tcPr>
            <w:tcW w:w="14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18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420" w:type="dxa"/>
            <w:vAlign w:val="bottom"/>
          </w:tcPr>
          <w:p>
            <w:pPr>
              <w:spacing w:after="0"/>
              <w:rPr>
                <w:sz w:val="22"/>
                <w:szCs w:val="22"/>
                <w:color w:val="auto"/>
              </w:rPr>
            </w:pPr>
          </w:p>
        </w:tc>
        <w:tc>
          <w:tcPr>
            <w:tcW w:w="10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(91,075)</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(26,867)</w:t>
            </w:r>
          </w:p>
        </w:tc>
        <w:tc>
          <w:tcPr>
            <w:tcW w:w="0" w:type="dxa"/>
            <w:vAlign w:val="bottom"/>
          </w:tcPr>
          <w:p>
            <w:pPr>
              <w:spacing w:after="0"/>
              <w:rPr>
                <w:sz w:val="1"/>
                <w:szCs w:val="1"/>
                <w:color w:val="auto"/>
              </w:rPr>
            </w:pPr>
          </w:p>
        </w:tc>
      </w:tr>
      <w:tr>
        <w:trPr>
          <w:trHeight w:val="168"/>
        </w:trPr>
        <w:tc>
          <w:tcPr>
            <w:tcW w:w="51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Purchase of fixed assets</w:t>
            </w:r>
          </w:p>
        </w:tc>
        <w:tc>
          <w:tcPr>
            <w:tcW w:w="4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5180" w:type="dxa"/>
            <w:vAlign w:val="bottom"/>
          </w:tcPr>
          <w:p>
            <w:pPr>
              <w:spacing w:after="0"/>
              <w:rPr>
                <w:sz w:val="21"/>
                <w:szCs w:val="21"/>
                <w:color w:val="auto"/>
              </w:rPr>
            </w:pPr>
          </w:p>
        </w:tc>
        <w:tc>
          <w:tcPr>
            <w:tcW w:w="14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180" w:type="dxa"/>
            <w:vAlign w:val="bottom"/>
          </w:tcPr>
          <w:p>
            <w:pPr>
              <w:spacing w:after="0"/>
              <w:rPr>
                <w:sz w:val="20"/>
                <w:szCs w:val="20"/>
                <w:color w:val="auto"/>
              </w:rPr>
            </w:pPr>
            <w:r>
              <w:rPr>
                <w:rFonts w:ascii="Courier New" w:cs="Courier New" w:eastAsia="Courier New" w:hAnsi="Courier New"/>
                <w:sz w:val="15"/>
                <w:szCs w:val="15"/>
                <w:color w:val="auto"/>
              </w:rPr>
              <w:t>Net cash used in investing activities</w:t>
            </w:r>
          </w:p>
        </w:tc>
        <w:tc>
          <w:tcPr>
            <w:tcW w:w="420" w:type="dxa"/>
            <w:vAlign w:val="bottom"/>
          </w:tcPr>
          <w:p>
            <w:pPr>
              <w:spacing w:after="0"/>
              <w:rPr>
                <w:sz w:val="22"/>
                <w:szCs w:val="22"/>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(91,075)</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(26,867)</w:t>
            </w:r>
          </w:p>
        </w:tc>
        <w:tc>
          <w:tcPr>
            <w:tcW w:w="0" w:type="dxa"/>
            <w:vAlign w:val="bottom"/>
          </w:tcPr>
          <w:p>
            <w:pPr>
              <w:spacing w:after="0"/>
              <w:rPr>
                <w:sz w:val="1"/>
                <w:szCs w:val="1"/>
                <w:color w:val="auto"/>
              </w:rPr>
            </w:pPr>
          </w:p>
        </w:tc>
      </w:tr>
      <w:tr>
        <w:trPr>
          <w:trHeight w:val="245"/>
        </w:trPr>
        <w:tc>
          <w:tcPr>
            <w:tcW w:w="5180" w:type="dxa"/>
            <w:vAlign w:val="bottom"/>
          </w:tcPr>
          <w:p>
            <w:pPr>
              <w:spacing w:after="0"/>
              <w:rPr>
                <w:sz w:val="21"/>
                <w:szCs w:val="21"/>
                <w:color w:val="auto"/>
              </w:rPr>
            </w:pPr>
          </w:p>
        </w:tc>
        <w:tc>
          <w:tcPr>
            <w:tcW w:w="14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18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420" w:type="dxa"/>
            <w:vAlign w:val="bottom"/>
          </w:tcPr>
          <w:p>
            <w:pPr>
              <w:spacing w:after="0"/>
              <w:rPr>
                <w:sz w:val="22"/>
                <w:szCs w:val="22"/>
                <w:color w:val="auto"/>
              </w:rPr>
            </w:pPr>
          </w:p>
        </w:tc>
        <w:tc>
          <w:tcPr>
            <w:tcW w:w="10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721,271</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(459,525)</w:t>
            </w:r>
          </w:p>
        </w:tc>
        <w:tc>
          <w:tcPr>
            <w:tcW w:w="0" w:type="dxa"/>
            <w:vAlign w:val="bottom"/>
          </w:tcPr>
          <w:p>
            <w:pPr>
              <w:spacing w:after="0"/>
              <w:rPr>
                <w:sz w:val="1"/>
                <w:szCs w:val="1"/>
                <w:color w:val="auto"/>
              </w:rPr>
            </w:pPr>
          </w:p>
        </w:tc>
      </w:tr>
      <w:tr>
        <w:trPr>
          <w:trHeight w:val="168"/>
        </w:trPr>
        <w:tc>
          <w:tcPr>
            <w:tcW w:w="51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reduction/(borrowings) under overdraft facility</w:t>
            </w:r>
          </w:p>
        </w:tc>
        <w:tc>
          <w:tcPr>
            <w:tcW w:w="4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5180" w:type="dxa"/>
            <w:vAlign w:val="bottom"/>
          </w:tcPr>
          <w:p>
            <w:pPr>
              <w:spacing w:after="0"/>
              <w:rPr>
                <w:sz w:val="21"/>
                <w:szCs w:val="21"/>
                <w:color w:val="auto"/>
              </w:rPr>
            </w:pPr>
          </w:p>
        </w:tc>
        <w:tc>
          <w:tcPr>
            <w:tcW w:w="14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180" w:type="dxa"/>
            <w:vAlign w:val="bottom"/>
          </w:tcPr>
          <w:p>
            <w:pPr>
              <w:spacing w:after="0"/>
              <w:rPr>
                <w:sz w:val="20"/>
                <w:szCs w:val="20"/>
                <w:color w:val="auto"/>
              </w:rPr>
            </w:pPr>
            <w:r>
              <w:rPr>
                <w:rFonts w:ascii="Courier New" w:cs="Courier New" w:eastAsia="Courier New" w:hAnsi="Courier New"/>
                <w:sz w:val="15"/>
                <w:szCs w:val="15"/>
                <w:color w:val="auto"/>
              </w:rPr>
              <w:t>Net cash provided by/(used in) financing activities</w:t>
            </w:r>
          </w:p>
        </w:tc>
        <w:tc>
          <w:tcPr>
            <w:tcW w:w="420" w:type="dxa"/>
            <w:vAlign w:val="bottom"/>
          </w:tcPr>
          <w:p>
            <w:pPr>
              <w:spacing w:after="0"/>
              <w:rPr>
                <w:sz w:val="22"/>
                <w:szCs w:val="22"/>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721,271</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(459,525)</w:t>
            </w:r>
          </w:p>
        </w:tc>
        <w:tc>
          <w:tcPr>
            <w:tcW w:w="0" w:type="dxa"/>
            <w:vAlign w:val="bottom"/>
          </w:tcPr>
          <w:p>
            <w:pPr>
              <w:spacing w:after="0"/>
              <w:rPr>
                <w:sz w:val="1"/>
                <w:szCs w:val="1"/>
                <w:color w:val="auto"/>
              </w:rPr>
            </w:pPr>
          </w:p>
        </w:tc>
      </w:tr>
      <w:tr>
        <w:trPr>
          <w:trHeight w:val="245"/>
        </w:trPr>
        <w:tc>
          <w:tcPr>
            <w:tcW w:w="5180" w:type="dxa"/>
            <w:vAlign w:val="bottom"/>
          </w:tcPr>
          <w:p>
            <w:pPr>
              <w:spacing w:after="0"/>
              <w:rPr>
                <w:sz w:val="21"/>
                <w:szCs w:val="21"/>
                <w:color w:val="auto"/>
              </w:rPr>
            </w:pPr>
          </w:p>
        </w:tc>
        <w:tc>
          <w:tcPr>
            <w:tcW w:w="14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180" w:type="dxa"/>
            <w:vAlign w:val="bottom"/>
          </w:tcPr>
          <w:p>
            <w:pPr>
              <w:spacing w:after="0"/>
              <w:rPr>
                <w:sz w:val="20"/>
                <w:szCs w:val="20"/>
                <w:color w:val="auto"/>
              </w:rPr>
            </w:pPr>
            <w:r>
              <w:rPr>
                <w:rFonts w:ascii="Courier New" w:cs="Courier New" w:eastAsia="Courier New" w:hAnsi="Courier New"/>
                <w:sz w:val="15"/>
                <w:szCs w:val="15"/>
                <w:color w:val="auto"/>
              </w:rPr>
              <w:t>Effect of foreign currency translation on cash</w:t>
            </w:r>
          </w:p>
        </w:tc>
        <w:tc>
          <w:tcPr>
            <w:tcW w:w="420" w:type="dxa"/>
            <w:vAlign w:val="bottom"/>
          </w:tcPr>
          <w:p>
            <w:pPr>
              <w:spacing w:after="0"/>
              <w:rPr>
                <w:sz w:val="22"/>
                <w:szCs w:val="22"/>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10,876</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(19,057)</w:t>
            </w:r>
          </w:p>
        </w:tc>
        <w:tc>
          <w:tcPr>
            <w:tcW w:w="0" w:type="dxa"/>
            <w:vAlign w:val="bottom"/>
          </w:tcPr>
          <w:p>
            <w:pPr>
              <w:spacing w:after="0"/>
              <w:rPr>
                <w:sz w:val="1"/>
                <w:szCs w:val="1"/>
                <w:color w:val="auto"/>
              </w:rPr>
            </w:pPr>
          </w:p>
        </w:tc>
      </w:tr>
      <w:tr>
        <w:trPr>
          <w:trHeight w:val="245"/>
        </w:trPr>
        <w:tc>
          <w:tcPr>
            <w:tcW w:w="5180" w:type="dxa"/>
            <w:vAlign w:val="bottom"/>
          </w:tcPr>
          <w:p>
            <w:pPr>
              <w:spacing w:after="0"/>
              <w:rPr>
                <w:sz w:val="21"/>
                <w:szCs w:val="21"/>
                <w:color w:val="auto"/>
              </w:rPr>
            </w:pPr>
          </w:p>
        </w:tc>
        <w:tc>
          <w:tcPr>
            <w:tcW w:w="14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5180" w:type="dxa"/>
            <w:vAlign w:val="bottom"/>
          </w:tcPr>
          <w:p>
            <w:pPr>
              <w:spacing w:after="0"/>
              <w:rPr>
                <w:sz w:val="20"/>
                <w:szCs w:val="20"/>
                <w:color w:val="auto"/>
              </w:rPr>
            </w:pPr>
            <w:r>
              <w:rPr>
                <w:rFonts w:ascii="Courier New" w:cs="Courier New" w:eastAsia="Courier New" w:hAnsi="Courier New"/>
                <w:sz w:val="15"/>
                <w:szCs w:val="15"/>
                <w:color w:val="auto"/>
              </w:rPr>
              <w:t>Net increase in cash for the period</w:t>
            </w:r>
          </w:p>
        </w:tc>
        <w:tc>
          <w:tcPr>
            <w:tcW w:w="420" w:type="dxa"/>
            <w:vAlign w:val="bottom"/>
          </w:tcPr>
          <w:p>
            <w:pPr>
              <w:spacing w:after="0"/>
              <w:rPr>
                <w:sz w:val="24"/>
                <w:szCs w:val="2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34,358</w:t>
            </w:r>
          </w:p>
        </w:tc>
        <w:tc>
          <w:tcPr>
            <w:tcW w:w="11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114,478</w:t>
            </w:r>
          </w:p>
        </w:tc>
        <w:tc>
          <w:tcPr>
            <w:tcW w:w="0" w:type="dxa"/>
            <w:vAlign w:val="bottom"/>
          </w:tcPr>
          <w:p>
            <w:pPr>
              <w:spacing w:after="0"/>
              <w:rPr>
                <w:sz w:val="1"/>
                <w:szCs w:val="1"/>
                <w:color w:val="auto"/>
              </w:rPr>
            </w:pPr>
          </w:p>
        </w:tc>
      </w:tr>
      <w:tr>
        <w:trPr>
          <w:trHeight w:val="259"/>
        </w:trPr>
        <w:tc>
          <w:tcPr>
            <w:tcW w:w="5180" w:type="dxa"/>
            <w:vAlign w:val="bottom"/>
          </w:tcPr>
          <w:p>
            <w:pPr>
              <w:spacing w:after="0"/>
              <w:rPr>
                <w:sz w:val="20"/>
                <w:szCs w:val="20"/>
                <w:color w:val="auto"/>
              </w:rPr>
            </w:pPr>
            <w:r>
              <w:rPr>
                <w:rFonts w:ascii="Courier New" w:cs="Courier New" w:eastAsia="Courier New" w:hAnsi="Courier New"/>
                <w:sz w:val="15"/>
                <w:szCs w:val="15"/>
                <w:color w:val="auto"/>
              </w:rPr>
              <w:t>Cash, beginning of period</w:t>
            </w:r>
          </w:p>
        </w:tc>
        <w:tc>
          <w:tcPr>
            <w:tcW w:w="420" w:type="dxa"/>
            <w:vAlign w:val="bottom"/>
          </w:tcPr>
          <w:p>
            <w:pPr>
              <w:spacing w:after="0"/>
              <w:rPr>
                <w:sz w:val="22"/>
                <w:szCs w:val="22"/>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3,141</w:t>
            </w:r>
          </w:p>
        </w:tc>
        <w:tc>
          <w:tcPr>
            <w:tcW w:w="11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37,499</w:t>
            </w:r>
          </w:p>
        </w:tc>
        <w:tc>
          <w:tcPr>
            <w:tcW w:w="0" w:type="dxa"/>
            <w:vAlign w:val="bottom"/>
          </w:tcPr>
          <w:p>
            <w:pPr>
              <w:spacing w:after="0"/>
              <w:rPr>
                <w:sz w:val="1"/>
                <w:szCs w:val="1"/>
                <w:color w:val="auto"/>
              </w:rPr>
            </w:pPr>
          </w:p>
        </w:tc>
      </w:tr>
      <w:tr>
        <w:trPr>
          <w:trHeight w:val="245"/>
        </w:trPr>
        <w:tc>
          <w:tcPr>
            <w:tcW w:w="5180" w:type="dxa"/>
            <w:vAlign w:val="bottom"/>
          </w:tcPr>
          <w:p>
            <w:pPr>
              <w:spacing w:after="0"/>
              <w:rPr>
                <w:sz w:val="21"/>
                <w:szCs w:val="21"/>
                <w:color w:val="auto"/>
              </w:rPr>
            </w:pPr>
          </w:p>
        </w:tc>
        <w:tc>
          <w:tcPr>
            <w:tcW w:w="14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180" w:type="dxa"/>
            <w:vAlign w:val="bottom"/>
          </w:tcPr>
          <w:p>
            <w:pPr>
              <w:spacing w:after="0"/>
              <w:rPr>
                <w:sz w:val="20"/>
                <w:szCs w:val="20"/>
                <w:color w:val="auto"/>
              </w:rPr>
            </w:pPr>
            <w:r>
              <w:rPr>
                <w:rFonts w:ascii="Courier New" w:cs="Courier New" w:eastAsia="Courier New" w:hAnsi="Courier New"/>
                <w:sz w:val="15"/>
                <w:szCs w:val="15"/>
                <w:color w:val="auto"/>
              </w:rPr>
              <w:t>Cash, end of period</w:t>
            </w:r>
          </w:p>
        </w:tc>
        <w:tc>
          <w:tcPr>
            <w:tcW w:w="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37,499</w:t>
            </w:r>
          </w:p>
        </w:tc>
        <w:tc>
          <w:tcPr>
            <w:tcW w:w="11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151,977</w:t>
            </w:r>
          </w:p>
        </w:tc>
        <w:tc>
          <w:tcPr>
            <w:tcW w:w="0" w:type="dxa"/>
            <w:vAlign w:val="bottom"/>
          </w:tcPr>
          <w:p>
            <w:pPr>
              <w:spacing w:after="0"/>
              <w:rPr>
                <w:sz w:val="1"/>
                <w:szCs w:val="1"/>
                <w:color w:val="auto"/>
              </w:rPr>
            </w:pPr>
          </w:p>
        </w:tc>
      </w:tr>
      <w:tr>
        <w:trPr>
          <w:trHeight w:val="245"/>
        </w:trPr>
        <w:tc>
          <w:tcPr>
            <w:tcW w:w="5180" w:type="dxa"/>
            <w:vAlign w:val="bottom"/>
          </w:tcPr>
          <w:p>
            <w:pPr>
              <w:spacing w:after="0"/>
              <w:rPr>
                <w:sz w:val="21"/>
                <w:szCs w:val="21"/>
                <w:color w:val="auto"/>
              </w:rPr>
            </w:pPr>
          </w:p>
        </w:tc>
        <w:tc>
          <w:tcPr>
            <w:tcW w:w="14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right="3839"/>
        <w:spacing w:after="0" w:line="344" w:lineRule="auto"/>
        <w:rPr>
          <w:sz w:val="20"/>
          <w:szCs w:val="20"/>
          <w:color w:val="auto"/>
        </w:rPr>
      </w:pPr>
      <w:r>
        <w:rPr>
          <w:rFonts w:ascii="Courier New" w:cs="Courier New" w:eastAsia="Courier New" w:hAnsi="Courier New"/>
          <w:sz w:val="15"/>
          <w:szCs w:val="15"/>
          <w:color w:val="auto"/>
        </w:rPr>
        <w:t>The accompanying notes are an integral part of the consolidated financial statements.</w:t>
      </w:r>
    </w:p>
    <w:p>
      <w:pPr>
        <w:spacing w:after="0" w:line="18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766" w:right="1440"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45"/>
        </w:trPr>
        <w:tc>
          <w:tcPr>
            <w:tcW w:w="5120" w:type="dxa"/>
            <w:vAlign w:val="bottom"/>
            <w:gridSpan w:val="2"/>
          </w:tcPr>
          <w:p>
            <w:pPr>
              <w:jc w:val="center"/>
              <w:ind w:left="1907"/>
              <w:spacing w:after="0"/>
              <w:rPr>
                <w:sz w:val="20"/>
                <w:szCs w:val="20"/>
                <w:color w:val="auto"/>
              </w:rPr>
            </w:pPr>
            <w:r>
              <w:rPr>
                <w:rFonts w:ascii="Courier New" w:cs="Courier New" w:eastAsia="Courier New" w:hAnsi="Courier New"/>
                <w:sz w:val="15"/>
                <w:szCs w:val="15"/>
                <w:color w:val="auto"/>
                <w:w w:val="97"/>
              </w:rPr>
              <w:t>GAMETEK (UK) LIMITED AND SUBSIDIARY</w:t>
            </w: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6000" w:type="dxa"/>
            <w:vAlign w:val="bottom"/>
            <w:gridSpan w:val="3"/>
          </w:tcPr>
          <w:p>
            <w:pPr>
              <w:jc w:val="center"/>
              <w:ind w:left="1027"/>
              <w:spacing w:after="0"/>
              <w:rPr>
                <w:sz w:val="20"/>
                <w:szCs w:val="20"/>
                <w:color w:val="auto"/>
              </w:rPr>
            </w:pPr>
            <w:r>
              <w:rPr>
                <w:rFonts w:ascii="Courier New" w:cs="Courier New" w:eastAsia="Courier New" w:hAnsi="Courier New"/>
                <w:sz w:val="15"/>
                <w:szCs w:val="15"/>
                <w:color w:val="auto"/>
                <w:w w:val="97"/>
              </w:rPr>
              <w:t>CONSOLIDATED STATEMENTS OF CASH FLOWS (continued)</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4640" w:type="dxa"/>
            <w:vAlign w:val="bottom"/>
          </w:tcPr>
          <w:p>
            <w:pPr>
              <w:jc w:val="center"/>
              <w:ind w:left="2387"/>
              <w:spacing w:after="0"/>
              <w:rPr>
                <w:sz w:val="20"/>
                <w:szCs w:val="20"/>
                <w:color w:val="auto"/>
              </w:rPr>
            </w:pPr>
            <w:r>
              <w:rPr>
                <w:rFonts w:ascii="Courier New" w:cs="Courier New" w:eastAsia="Courier New" w:hAnsi="Courier New"/>
                <w:sz w:val="15"/>
                <w:szCs w:val="15"/>
                <w:color w:val="auto"/>
                <w:w w:val="96"/>
              </w:rPr>
              <w:t>(in US Dollars)</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6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July 31,</w:t>
            </w:r>
          </w:p>
        </w:tc>
        <w:tc>
          <w:tcPr>
            <w:tcW w:w="2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July 29,</w:t>
            </w:r>
          </w:p>
        </w:tc>
        <w:tc>
          <w:tcPr>
            <w:tcW w:w="0" w:type="dxa"/>
            <w:vAlign w:val="bottom"/>
          </w:tcPr>
          <w:p>
            <w:pPr>
              <w:spacing w:after="0"/>
              <w:rPr>
                <w:sz w:val="1"/>
                <w:szCs w:val="1"/>
                <w:color w:val="auto"/>
              </w:rPr>
            </w:pPr>
          </w:p>
        </w:tc>
      </w:tr>
      <w:tr>
        <w:trPr>
          <w:trHeight w:val="168"/>
        </w:trPr>
        <w:tc>
          <w:tcPr>
            <w:tcW w:w="4640" w:type="dxa"/>
            <w:vAlign w:val="bottom"/>
          </w:tcPr>
          <w:p>
            <w:pPr>
              <w:spacing w:after="0"/>
              <w:rPr>
                <w:sz w:val="14"/>
                <w:szCs w:val="14"/>
                <w:color w:val="auto"/>
              </w:rPr>
            </w:pPr>
          </w:p>
        </w:tc>
        <w:tc>
          <w:tcPr>
            <w:tcW w:w="13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1996</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45"/>
        </w:trPr>
        <w:tc>
          <w:tcPr>
            <w:tcW w:w="4640" w:type="dxa"/>
            <w:vAlign w:val="bottom"/>
          </w:tcPr>
          <w:p>
            <w:pPr>
              <w:spacing w:after="0"/>
              <w:rPr>
                <w:sz w:val="21"/>
                <w:szCs w:val="21"/>
                <w:color w:val="auto"/>
              </w:rPr>
            </w:pPr>
          </w:p>
        </w:tc>
        <w:tc>
          <w:tcPr>
            <w:tcW w:w="13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64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48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252,893</w:t>
            </w:r>
          </w:p>
        </w:tc>
        <w:tc>
          <w:tcPr>
            <w:tcW w:w="0" w:type="dxa"/>
            <w:vAlign w:val="bottom"/>
          </w:tcPr>
          <w:p>
            <w:pPr>
              <w:spacing w:after="0"/>
              <w:rPr>
                <w:sz w:val="1"/>
                <w:szCs w:val="1"/>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paid during the year for corporation tax</w:t>
            </w:r>
          </w:p>
        </w:tc>
        <w:tc>
          <w:tcPr>
            <w:tcW w:w="4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640" w:type="dxa"/>
            <w:vAlign w:val="bottom"/>
          </w:tcPr>
          <w:p>
            <w:pPr>
              <w:spacing w:after="0"/>
              <w:rPr>
                <w:sz w:val="21"/>
                <w:szCs w:val="21"/>
                <w:color w:val="auto"/>
              </w:rPr>
            </w:pPr>
          </w:p>
        </w:tc>
        <w:tc>
          <w:tcPr>
            <w:tcW w:w="13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640" w:type="dxa"/>
            <w:vAlign w:val="bottom"/>
          </w:tcPr>
          <w:p>
            <w:pPr>
              <w:spacing w:after="0"/>
              <w:rPr>
                <w:sz w:val="20"/>
                <w:szCs w:val="20"/>
                <w:color w:val="auto"/>
              </w:rPr>
            </w:pPr>
            <w:r>
              <w:rPr>
                <w:rFonts w:ascii="Courier New" w:cs="Courier New" w:eastAsia="Courier New" w:hAnsi="Courier New"/>
                <w:sz w:val="15"/>
                <w:szCs w:val="15"/>
                <w:color w:val="auto"/>
              </w:rPr>
              <w:t>Cash paid during the year for interest</w:t>
            </w:r>
          </w:p>
        </w:tc>
        <w:tc>
          <w:tcPr>
            <w:tcW w:w="4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85,858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55,814</w:t>
            </w:r>
          </w:p>
        </w:tc>
        <w:tc>
          <w:tcPr>
            <w:tcW w:w="0" w:type="dxa"/>
            <w:vAlign w:val="bottom"/>
          </w:tcPr>
          <w:p>
            <w:pPr>
              <w:spacing w:after="0"/>
              <w:rPr>
                <w:sz w:val="1"/>
                <w:szCs w:val="1"/>
                <w:color w:val="auto"/>
              </w:rPr>
            </w:pPr>
          </w:p>
        </w:tc>
      </w:tr>
      <w:tr>
        <w:trPr>
          <w:trHeight w:val="245"/>
        </w:trPr>
        <w:tc>
          <w:tcPr>
            <w:tcW w:w="4640" w:type="dxa"/>
            <w:vAlign w:val="bottom"/>
          </w:tcPr>
          <w:p>
            <w:pPr>
              <w:spacing w:after="0"/>
              <w:rPr>
                <w:sz w:val="21"/>
                <w:szCs w:val="21"/>
                <w:color w:val="auto"/>
              </w:rPr>
            </w:pPr>
          </w:p>
        </w:tc>
        <w:tc>
          <w:tcPr>
            <w:tcW w:w="13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640" w:type="dxa"/>
            <w:vAlign w:val="bottom"/>
          </w:tcPr>
          <w:p>
            <w:pPr>
              <w:spacing w:after="0"/>
              <w:rPr>
                <w:sz w:val="20"/>
                <w:szCs w:val="20"/>
                <w:color w:val="auto"/>
              </w:rPr>
            </w:pPr>
            <w:r>
              <w:rPr>
                <w:rFonts w:ascii="Courier New" w:cs="Courier New" w:eastAsia="Courier New" w:hAnsi="Courier New"/>
                <w:sz w:val="15"/>
                <w:szCs w:val="15"/>
                <w:color w:val="auto"/>
              </w:rPr>
              <w:t>Conversion of inter-company debt to equity</w:t>
            </w:r>
          </w:p>
        </w:tc>
        <w:tc>
          <w:tcPr>
            <w:tcW w:w="4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$1,681,986</w:t>
            </w:r>
          </w:p>
        </w:tc>
        <w:tc>
          <w:tcPr>
            <w:tcW w:w="0" w:type="dxa"/>
            <w:vAlign w:val="bottom"/>
          </w:tcPr>
          <w:p>
            <w:pPr>
              <w:spacing w:after="0"/>
              <w:rPr>
                <w:sz w:val="1"/>
                <w:szCs w:val="1"/>
                <w:color w:val="auto"/>
              </w:rPr>
            </w:pPr>
          </w:p>
        </w:tc>
      </w:tr>
      <w:tr>
        <w:trPr>
          <w:trHeight w:val="245"/>
        </w:trPr>
        <w:tc>
          <w:tcPr>
            <w:tcW w:w="4640" w:type="dxa"/>
            <w:vAlign w:val="bottom"/>
          </w:tcPr>
          <w:p>
            <w:pPr>
              <w:spacing w:after="0"/>
              <w:rPr>
                <w:sz w:val="21"/>
                <w:szCs w:val="21"/>
                <w:color w:val="auto"/>
              </w:rPr>
            </w:pPr>
          </w:p>
        </w:tc>
        <w:tc>
          <w:tcPr>
            <w:tcW w:w="13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right="3839"/>
        <w:spacing w:after="0" w:line="344" w:lineRule="auto"/>
        <w:rPr>
          <w:sz w:val="20"/>
          <w:szCs w:val="20"/>
          <w:color w:val="auto"/>
        </w:rPr>
      </w:pPr>
      <w:r>
        <w:rPr>
          <w:rFonts w:ascii="Courier New" w:cs="Courier New" w:eastAsia="Courier New" w:hAnsi="Courier New"/>
          <w:sz w:val="15"/>
          <w:szCs w:val="15"/>
          <w:color w:val="auto"/>
        </w:rPr>
        <w:t>The accompanying notes are an integral part of the consolidated financial statements.</w:t>
      </w:r>
    </w:p>
    <w:p>
      <w:pPr>
        <w:spacing w:after="0" w:line="18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766" w:right="1440" w:bottom="1440" w:gutter="0" w:footer="0" w:header="0"/>
        </w:sectPr>
      </w:pPr>
    </w:p>
    <w:bookmarkStart w:id="18" w:name="page19"/>
    <w:bookmarkEnd w:id="18"/>
    <w:p>
      <w:pPr>
        <w:ind w:left="2010"/>
        <w:spacing w:after="0"/>
        <w:rPr>
          <w:sz w:val="20"/>
          <w:szCs w:val="20"/>
          <w:color w:val="auto"/>
        </w:rPr>
      </w:pPr>
      <w:r>
        <w:rPr>
          <w:rFonts w:ascii="Courier New" w:cs="Courier New" w:eastAsia="Courier New" w:hAnsi="Courier New"/>
          <w:sz w:val="15"/>
          <w:szCs w:val="15"/>
          <w:color w:val="auto"/>
        </w:rPr>
        <w:t>GAMETEK (UK) LIMITED AND SUBSIDIARY</w:t>
      </w:r>
    </w:p>
    <w:p>
      <w:pPr>
        <w:spacing w:after="0" w:line="166" w:lineRule="exact"/>
        <w:rPr>
          <w:sz w:val="20"/>
          <w:szCs w:val="20"/>
          <w:color w:val="auto"/>
        </w:rPr>
      </w:pPr>
    </w:p>
    <w:p>
      <w:pPr>
        <w:ind w:left="167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35" w:lineRule="exact"/>
        <w:rPr>
          <w:sz w:val="20"/>
          <w:szCs w:val="20"/>
          <w:color w:val="auto"/>
        </w:rPr>
      </w:pPr>
    </w:p>
    <w:p>
      <w:pPr>
        <w:ind w:left="430" w:hanging="430"/>
        <w:spacing w:after="0"/>
        <w:tabs>
          <w:tab w:leader="none" w:pos="43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w:t>
      </w:r>
    </w:p>
    <w:p>
      <w:pPr>
        <w:spacing w:after="0" w:line="166" w:lineRule="exact"/>
        <w:rPr>
          <w:rFonts w:ascii="Courier New" w:cs="Courier New" w:eastAsia="Courier New" w:hAnsi="Courier New"/>
          <w:sz w:val="15"/>
          <w:szCs w:val="15"/>
          <w:color w:val="auto"/>
        </w:rPr>
      </w:pPr>
    </w:p>
    <w:p>
      <w:pPr>
        <w:ind w:left="430" w:right="3239"/>
        <w:spacing w:after="0" w:line="25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Gametek (UK) Limited ("Gametek") was incorporated in England and Wales on August 14, 1992 and was a wholly owned subsidiary of GameTek Inc, a Florida Corporation. Gametek and its wholly owned subsidiary, Gametek Deutschland GmbH (collectively, the "Company") publishes and distributes entertainment software games. The Company delivers game titles to consumers mainly through distribution and licensing agreements.</w:t>
      </w:r>
    </w:p>
    <w:p>
      <w:pPr>
        <w:spacing w:after="0" w:line="81" w:lineRule="exact"/>
        <w:rPr>
          <w:rFonts w:ascii="Courier New" w:cs="Courier New" w:eastAsia="Courier New" w:hAnsi="Courier New"/>
          <w:sz w:val="15"/>
          <w:szCs w:val="15"/>
          <w:color w:val="auto"/>
        </w:rPr>
      </w:pPr>
    </w:p>
    <w:p>
      <w:pPr>
        <w:ind w:left="430" w:right="3399"/>
        <w:spacing w:after="0" w:line="32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On July 29, 1997 the Company was acquired by and became a wholly owned subsidiary of Take-Two Interactive Software, Inc. On August 1, 1997, Gametek changed its name to Take-Two Interactive Software Europe Limited.</w:t>
      </w:r>
    </w:p>
    <w:p>
      <w:pPr>
        <w:spacing w:after="0" w:line="38" w:lineRule="exact"/>
        <w:rPr>
          <w:rFonts w:ascii="Courier New" w:cs="Courier New" w:eastAsia="Courier New" w:hAnsi="Courier New"/>
          <w:sz w:val="15"/>
          <w:szCs w:val="15"/>
          <w:color w:val="auto"/>
        </w:rPr>
      </w:pPr>
    </w:p>
    <w:p>
      <w:pPr>
        <w:ind w:left="430" w:right="6999" w:hanging="430"/>
        <w:spacing w:after="0" w:line="475" w:lineRule="auto"/>
        <w:tabs>
          <w:tab w:leader="none" w:pos="43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Accounting Policies: Basis of Presentation</w:t>
      </w:r>
    </w:p>
    <w:p>
      <w:pPr>
        <w:ind w:left="430" w:right="3399"/>
        <w:spacing w:after="0" w:line="29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consolidated financial statements include the financial statements of Gametek and its wholly owned subsidiary. All intercompany balances and transactions have been eliminated.</w:t>
      </w:r>
    </w:p>
    <w:p>
      <w:pPr>
        <w:spacing w:after="0" w:line="56" w:lineRule="exact"/>
        <w:rPr>
          <w:rFonts w:ascii="Courier New" w:cs="Courier New" w:eastAsia="Courier New" w:hAnsi="Courier New"/>
          <w:sz w:val="15"/>
          <w:szCs w:val="15"/>
          <w:color w:val="auto"/>
        </w:rPr>
      </w:pPr>
    </w:p>
    <w:p>
      <w:pPr>
        <w:ind w:left="430" w:right="323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accompanying financial statements have been prepared assuming Gametek will continue as a going concern. This basis of preparation contemplates the realization of assets and the settlement of liabilities and commitments in the normal course of business. Continuance of the Company as a going concern is dependent upon, among other things, the Company's ability to publish and distribute new commercially successful entertainment software products and obtaining additional financing to fund the development of these products, the outcome of which cannot presently be determined. The financial statements do not include any adjustments that might result from the outcome of this uncertainty.</w:t>
      </w:r>
    </w:p>
    <w:p>
      <w:pPr>
        <w:spacing w:after="0" w:line="87" w:lineRule="exact"/>
        <w:rPr>
          <w:rFonts w:ascii="Courier New" w:cs="Courier New" w:eastAsia="Courier New" w:hAnsi="Courier New"/>
          <w:sz w:val="15"/>
          <w:szCs w:val="15"/>
          <w:color w:val="auto"/>
        </w:rPr>
      </w:pPr>
    </w:p>
    <w:p>
      <w:pPr>
        <w:ind w:left="4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Concentration of Credit Risk</w:t>
      </w:r>
    </w:p>
    <w:p>
      <w:pPr>
        <w:spacing w:after="0" w:line="166" w:lineRule="exact"/>
        <w:rPr>
          <w:rFonts w:ascii="Courier New" w:cs="Courier New" w:eastAsia="Courier New" w:hAnsi="Courier New"/>
          <w:sz w:val="15"/>
          <w:szCs w:val="15"/>
          <w:color w:val="auto"/>
        </w:rPr>
      </w:pPr>
    </w:p>
    <w:p>
      <w:pPr>
        <w:ind w:left="430" w:right="323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instruments that potentially subject the Company to concentrations of credit risk consist principally of cash and cash equivalents and trade receivables. A significant proportion of cash balances are maintained with two major financial institutions with satisfactory standing. The Company sells a significant portion of its products through third-party distributors and, as a result, may maintain individually significant receivable balances with distributors. If the financial condition and operations of such distributors deteriorate and the risk of collections increases substantially, the Company's operating results could be adversely affected.</w:t>
      </w:r>
    </w:p>
    <w:p>
      <w:pPr>
        <w:spacing w:after="0" w:line="255"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9"/>
          </w:cols>
          <w:pgMar w:left="230" w:top="766" w:right="1440" w:bottom="1440" w:gutter="0" w:footer="0" w:header="0"/>
        </w:sectPr>
      </w:pPr>
    </w:p>
    <w:bookmarkStart w:id="19" w:name="page20"/>
    <w:bookmarkEnd w:id="19"/>
    <w:p>
      <w:pPr>
        <w:ind w:left="1580"/>
        <w:spacing w:after="0"/>
        <w:rPr>
          <w:sz w:val="20"/>
          <w:szCs w:val="20"/>
          <w:color w:val="auto"/>
        </w:rPr>
      </w:pPr>
      <w:r>
        <w:rPr>
          <w:rFonts w:ascii="Courier New" w:cs="Courier New" w:eastAsia="Courier New" w:hAnsi="Courier New"/>
          <w:sz w:val="15"/>
          <w:szCs w:val="15"/>
          <w:color w:val="auto"/>
        </w:rPr>
        <w:t>GAMETEK (UK) LIMITED AND SUBSIDIARY</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66" w:lineRule="exact"/>
        <w:rPr>
          <w:sz w:val="20"/>
          <w:szCs w:val="20"/>
          <w:color w:val="auto"/>
        </w:rPr>
      </w:pPr>
    </w:p>
    <w:p>
      <w:pPr>
        <w:ind w:right="3319"/>
        <w:spacing w:after="0" w:line="273" w:lineRule="auto"/>
        <w:rPr>
          <w:sz w:val="20"/>
          <w:szCs w:val="20"/>
          <w:color w:val="auto"/>
        </w:rPr>
      </w:pPr>
      <w:r>
        <w:rPr>
          <w:rFonts w:ascii="Courier New" w:cs="Courier New" w:eastAsia="Courier New" w:hAnsi="Courier New"/>
          <w:sz w:val="15"/>
          <w:szCs w:val="15"/>
          <w:color w:val="auto"/>
        </w:rPr>
        <w:t>Software license revenue is recognized in the period the software is delivered (in the absence of any continuing obligation by the Company) and collectibility of the resulting receivable is reasonably assured. Revenue from the sale of software products is recognized upon shipment.</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Cash Equivalents</w:t>
      </w:r>
    </w:p>
    <w:p>
      <w:pPr>
        <w:spacing w:after="0" w:line="166" w:lineRule="exact"/>
        <w:rPr>
          <w:sz w:val="20"/>
          <w:szCs w:val="20"/>
          <w:color w:val="auto"/>
        </w:rPr>
      </w:pPr>
    </w:p>
    <w:p>
      <w:pPr>
        <w:ind w:right="3239"/>
        <w:spacing w:after="0" w:line="344" w:lineRule="auto"/>
        <w:rPr>
          <w:sz w:val="20"/>
          <w:szCs w:val="20"/>
          <w:color w:val="auto"/>
        </w:rPr>
      </w:pPr>
      <w:r>
        <w:rPr>
          <w:rFonts w:ascii="Courier New" w:cs="Courier New" w:eastAsia="Courier New" w:hAnsi="Courier New"/>
          <w:sz w:val="15"/>
          <w:szCs w:val="15"/>
          <w:color w:val="auto"/>
        </w:rPr>
        <w:t>The Company considers all highly liquid instruments purchased with original maturities of three months or less to be cash equivalents.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w:t>
      </w:r>
    </w:p>
    <w:p>
      <w:pPr>
        <w:spacing w:after="0" w:line="166" w:lineRule="exact"/>
        <w:rPr>
          <w:sz w:val="20"/>
          <w:szCs w:val="20"/>
          <w:color w:val="auto"/>
        </w:rPr>
      </w:pPr>
    </w:p>
    <w:p>
      <w:pPr>
        <w:ind w:right="3239"/>
        <w:spacing w:after="0" w:line="287" w:lineRule="auto"/>
        <w:rPr>
          <w:sz w:val="20"/>
          <w:szCs w:val="20"/>
          <w:color w:val="auto"/>
        </w:rPr>
      </w:pPr>
      <w:r>
        <w:rPr>
          <w:rFonts w:ascii="Courier New" w:cs="Courier New" w:eastAsia="Courier New" w:hAnsi="Courier New"/>
          <w:sz w:val="14"/>
          <w:szCs w:val="14"/>
          <w:color w:val="auto"/>
        </w:rPr>
        <w:t>Property and equipment are recorded at cost. All maintenance and repairs are expensed as incurred. Depreciation is provided using the straight-line method. Furniture and fixtures, office equipment and computer equipment are depreciated over four years. Leasehold improvements are amortized over the estimated lives of the assets or the lease terms, whichever are shorter.</w:t>
      </w:r>
    </w:p>
    <w:p>
      <w:pPr>
        <w:spacing w:after="0" w:line="61" w:lineRule="exact"/>
        <w:rPr>
          <w:sz w:val="20"/>
          <w:szCs w:val="20"/>
          <w:color w:val="auto"/>
        </w:rPr>
      </w:pPr>
    </w:p>
    <w:p>
      <w:pPr>
        <w:ind w:right="3319"/>
        <w:spacing w:after="0" w:line="381" w:lineRule="auto"/>
        <w:rPr>
          <w:sz w:val="20"/>
          <w:szCs w:val="20"/>
          <w:color w:val="auto"/>
        </w:rPr>
      </w:pPr>
      <w:r>
        <w:rPr>
          <w:rFonts w:ascii="Courier New" w:cs="Courier New" w:eastAsia="Courier New" w:hAnsi="Courier New"/>
          <w:sz w:val="14"/>
          <w:szCs w:val="14"/>
          <w:color w:val="auto"/>
        </w:rPr>
        <w:t>On disposal, costs and accumulated depreciation are removed from the accounts and gains (losses) are recognized in the statement of operations.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Prepaid Royalties</w:t>
      </w:r>
    </w:p>
    <w:p>
      <w:pPr>
        <w:spacing w:after="0" w:line="166" w:lineRule="exact"/>
        <w:rPr>
          <w:sz w:val="20"/>
          <w:szCs w:val="20"/>
          <w:color w:val="auto"/>
        </w:rPr>
      </w:pPr>
    </w:p>
    <w:p>
      <w:pPr>
        <w:ind w:right="3399"/>
        <w:spacing w:after="0" w:line="290" w:lineRule="auto"/>
        <w:rPr>
          <w:sz w:val="20"/>
          <w:szCs w:val="20"/>
          <w:color w:val="auto"/>
        </w:rPr>
      </w:pPr>
      <w:r>
        <w:rPr>
          <w:rFonts w:ascii="Courier New" w:cs="Courier New" w:eastAsia="Courier New" w:hAnsi="Courier New"/>
          <w:sz w:val="15"/>
          <w:szCs w:val="15"/>
          <w:color w:val="auto"/>
        </w:rPr>
        <w:t>Cash paid by the Company to third party developers, in exchange for the exclusive rights to publish and distribute the related software games, is capitalized as prepaid royalties.</w:t>
      </w:r>
    </w:p>
    <w:p>
      <w:pPr>
        <w:spacing w:after="0" w:line="57" w:lineRule="exact"/>
        <w:rPr>
          <w:sz w:val="20"/>
          <w:szCs w:val="20"/>
          <w:color w:val="auto"/>
        </w:rPr>
      </w:pPr>
    </w:p>
    <w:p>
      <w:pPr>
        <w:ind w:right="3239"/>
        <w:spacing w:after="0" w:line="249" w:lineRule="auto"/>
        <w:rPr>
          <w:sz w:val="20"/>
          <w:szCs w:val="20"/>
          <w:color w:val="auto"/>
        </w:rPr>
      </w:pPr>
      <w:r>
        <w:rPr>
          <w:rFonts w:ascii="Courier New" w:cs="Courier New" w:eastAsia="Courier New" w:hAnsi="Courier New"/>
          <w:sz w:val="15"/>
          <w:szCs w:val="15"/>
          <w:color w:val="auto"/>
        </w:rPr>
        <w:t>Amortization commences upon the general release of a game title and is recognized as a component of cost of sales. Amortization of these assets is recognized based on the ratio of gross revenues from actual products shipped, compared to the total anticipated gross revenues from a predetermined number of games to be shipped, as agreed between the Company and the developers and defined in the agreement. Once the predetermined number of games has been shipped and the asset has been fully amortized, the Company is then obligated to pay the developer royalties on future sales, as defined in the agreement. These royalities are recognized at the time of the sale as a component of cost of sales.</w:t>
      </w:r>
    </w:p>
    <w:p>
      <w:pPr>
        <w:spacing w:after="0" w:line="87" w:lineRule="exact"/>
        <w:rPr>
          <w:sz w:val="20"/>
          <w:szCs w:val="20"/>
          <w:color w:val="auto"/>
        </w:rPr>
      </w:pPr>
    </w:p>
    <w:p>
      <w:pPr>
        <w:ind w:right="3759"/>
        <w:spacing w:after="0" w:line="290" w:lineRule="auto"/>
        <w:rPr>
          <w:sz w:val="20"/>
          <w:szCs w:val="20"/>
          <w:color w:val="auto"/>
        </w:rPr>
      </w:pPr>
      <w:r>
        <w:rPr>
          <w:rFonts w:ascii="Courier New" w:cs="Courier New" w:eastAsia="Courier New" w:hAnsi="Courier New"/>
          <w:sz w:val="15"/>
          <w:szCs w:val="15"/>
          <w:color w:val="auto"/>
        </w:rPr>
        <w:t>Prepaid royalties are compared, by individual game title, to the net realizable value of the amounts capitalized. Amounts in excess of net realizable value, if any, are immediately written off.</w:t>
      </w:r>
    </w:p>
    <w:p>
      <w:pPr>
        <w:spacing w:after="0" w:line="22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799"/>
          </w:cols>
          <w:pgMar w:left="660" w:top="598" w:right="1440" w:bottom="1440" w:gutter="0" w:footer="0" w:header="0"/>
        </w:sectPr>
      </w:pPr>
    </w:p>
    <w:bookmarkStart w:id="20" w:name="page21"/>
    <w:bookmarkEnd w:id="20"/>
    <w:p>
      <w:pPr>
        <w:ind w:left="1580"/>
        <w:spacing w:after="0"/>
        <w:rPr>
          <w:sz w:val="20"/>
          <w:szCs w:val="20"/>
          <w:color w:val="auto"/>
        </w:rPr>
      </w:pPr>
      <w:r>
        <w:rPr>
          <w:rFonts w:ascii="Courier New" w:cs="Courier New" w:eastAsia="Courier New" w:hAnsi="Courier New"/>
          <w:sz w:val="15"/>
          <w:szCs w:val="15"/>
          <w:color w:val="auto"/>
        </w:rPr>
        <w:t>GAMETEK (UK) LIMITED AND SUBSIDIARY</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35" w:lineRule="exact"/>
        <w:rPr>
          <w:sz w:val="20"/>
          <w:szCs w:val="20"/>
          <w:color w:val="auto"/>
        </w:rPr>
      </w:pPr>
    </w:p>
    <w:p>
      <w:pPr>
        <w:ind w:right="3239"/>
        <w:spacing w:after="0" w:line="264" w:lineRule="auto"/>
        <w:rPr>
          <w:sz w:val="20"/>
          <w:szCs w:val="20"/>
          <w:color w:val="auto"/>
        </w:rPr>
      </w:pPr>
      <w:r>
        <w:rPr>
          <w:rFonts w:ascii="Courier New" w:cs="Courier New" w:eastAsia="Courier New" w:hAnsi="Courier New"/>
          <w:sz w:val="15"/>
          <w:szCs w:val="15"/>
          <w:color w:val="auto"/>
        </w:rPr>
        <w:t>As of July 29, 1997 the Company has $8,200 of prepaid royalties recorded on its balance sheet. During 1996 and 1997, the amortization of prepaid royalties was $512,614 and $121,523, respectively. Prepaid royalties written off due to impairment amounted to $52,675 and $518,278 in 1996 and 1997, respectively.</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66" w:lineRule="exact"/>
        <w:rPr>
          <w:sz w:val="20"/>
          <w:szCs w:val="20"/>
          <w:color w:val="auto"/>
        </w:rPr>
      </w:pPr>
    </w:p>
    <w:p>
      <w:pPr>
        <w:ind w:right="3239"/>
        <w:spacing w:after="0" w:line="280" w:lineRule="auto"/>
        <w:rPr>
          <w:sz w:val="20"/>
          <w:szCs w:val="20"/>
          <w:color w:val="auto"/>
        </w:rPr>
      </w:pPr>
      <w:r>
        <w:rPr>
          <w:rFonts w:ascii="Courier New" w:cs="Courier New" w:eastAsia="Courier New" w:hAnsi="Courier New"/>
          <w:sz w:val="14"/>
          <w:szCs w:val="14"/>
          <w:color w:val="auto"/>
        </w:rPr>
        <w:t>The Company recognizes deferred taxes under the asset and liability method of accounting for income taxes. Deferred income taxes are recorded to reflect the tax consequences on future years of differences between the tax basis of assets and liabilities and financial reporting amounts at each year-end. In addition, valuation allowances are established when necessary to reduce deferred tax assets to the amounts expected to be realized.</w:t>
      </w:r>
    </w:p>
    <w:p>
      <w:pPr>
        <w:spacing w:after="0" w:line="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66" w:lineRule="exact"/>
        <w:rPr>
          <w:sz w:val="20"/>
          <w:szCs w:val="20"/>
          <w:color w:val="auto"/>
        </w:rPr>
      </w:pPr>
    </w:p>
    <w:p>
      <w:pPr>
        <w:ind w:right="3239"/>
        <w:spacing w:after="0" w:line="250"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most significant estimates and assumptions relate to the recoverability of prepaid royalties, allowance for doubtful accounts and income taxes. Actual results could differ from those estimates.</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Recently Issued Pronouncement</w:t>
      </w:r>
    </w:p>
    <w:p>
      <w:pPr>
        <w:spacing w:after="0" w:line="166" w:lineRule="exact"/>
        <w:rPr>
          <w:sz w:val="20"/>
          <w:szCs w:val="20"/>
          <w:color w:val="auto"/>
        </w:rPr>
      </w:pPr>
    </w:p>
    <w:p>
      <w:pPr>
        <w:ind w:right="3239"/>
        <w:spacing w:after="0" w:line="252" w:lineRule="auto"/>
        <w:rPr>
          <w:sz w:val="20"/>
          <w:szCs w:val="20"/>
          <w:color w:val="auto"/>
        </w:rPr>
      </w:pPr>
      <w:r>
        <w:rPr>
          <w:rFonts w:ascii="Courier New" w:cs="Courier New" w:eastAsia="Courier New" w:hAnsi="Courier New"/>
          <w:sz w:val="15"/>
          <w:szCs w:val="15"/>
          <w:color w:val="auto"/>
        </w:rPr>
        <w:t>On August 1, 1996, the Company adopted the provisions of SFAS No. 121, "Accounting for the Impairment of Long-Lived Assets and for Long-Lived Assets to be Disposed of", which was issued by the FASB in March 1995. This statement requires that long-lived assets and certain identifiable intangibles held and used by an entity be reviewed for impairment whenever events or changes in circumstances indicate that the carrying amount of an asset may not be recoverable. There was no effect upon adoption to the Company's results of operations or cash flows.</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Currency Translation</w:t>
      </w:r>
    </w:p>
    <w:p>
      <w:pPr>
        <w:spacing w:after="0" w:line="166" w:lineRule="exact"/>
        <w:rPr>
          <w:sz w:val="20"/>
          <w:szCs w:val="20"/>
          <w:color w:val="auto"/>
        </w:rPr>
      </w:pPr>
    </w:p>
    <w:p>
      <w:pPr>
        <w:ind w:right="3239"/>
        <w:spacing w:after="0" w:line="280" w:lineRule="auto"/>
        <w:rPr>
          <w:sz w:val="20"/>
          <w:szCs w:val="20"/>
          <w:color w:val="auto"/>
        </w:rPr>
      </w:pPr>
      <w:r>
        <w:rPr>
          <w:rFonts w:ascii="Courier New" w:cs="Courier New" w:eastAsia="Courier New" w:hAnsi="Courier New"/>
          <w:sz w:val="14"/>
          <w:szCs w:val="14"/>
          <w:color w:val="auto"/>
        </w:rPr>
        <w:t>Assets and liabilities of Gametek (UK) Limited and its foreign subsidiary have been translated into United States dollars at the rates of exchange at the balance sheet date. Revenues and expenses are translated into United States dollars at the average rate during the period. Translation gains and losses arising from the use of differing exchange rates from year to year are included in the cumulative translation adjustment on the balance sheet.</w:t>
      </w:r>
    </w:p>
    <w:p>
      <w:pPr>
        <w:spacing w:after="0" w:line="2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799"/>
          </w:cols>
          <w:pgMar w:left="660" w:top="598" w:right="1440" w:bottom="1440" w:gutter="0" w:footer="0" w:header="0"/>
        </w:sectPr>
      </w:pPr>
    </w:p>
    <w:bookmarkStart w:id="21" w:name="page22"/>
    <w:bookmarkEnd w:id="21"/>
    <w:p>
      <w:pPr>
        <w:ind w:left="2020"/>
        <w:spacing w:after="0"/>
        <w:rPr>
          <w:sz w:val="20"/>
          <w:szCs w:val="20"/>
          <w:color w:val="auto"/>
        </w:rPr>
      </w:pPr>
      <w:r>
        <w:rPr>
          <w:rFonts w:ascii="Courier New" w:cs="Courier New" w:eastAsia="Courier New" w:hAnsi="Courier New"/>
          <w:sz w:val="15"/>
          <w:szCs w:val="15"/>
          <w:color w:val="auto"/>
        </w:rPr>
        <w:t>GAMETEK (UK) LIMITED AND SUBSIDIARY</w:t>
      </w:r>
    </w:p>
    <w:p>
      <w:pPr>
        <w:spacing w:after="0" w:line="16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35" w:lineRule="exact"/>
        <w:rPr>
          <w:sz w:val="20"/>
          <w:szCs w:val="20"/>
          <w:color w:val="auto"/>
        </w:rPr>
      </w:pPr>
    </w:p>
    <w:p>
      <w:pPr>
        <w:ind w:left="620" w:right="3399"/>
        <w:spacing w:after="0" w:line="287" w:lineRule="auto"/>
        <w:rPr>
          <w:sz w:val="20"/>
          <w:szCs w:val="20"/>
          <w:color w:val="auto"/>
        </w:rPr>
      </w:pPr>
      <w:r>
        <w:rPr>
          <w:rFonts w:ascii="Courier New" w:cs="Courier New" w:eastAsia="Courier New" w:hAnsi="Courier New"/>
          <w:sz w:val="14"/>
          <w:szCs w:val="14"/>
          <w:color w:val="auto"/>
        </w:rPr>
        <w:t>Transaction gains and losses that arise from exchange rate fluctuations on transactions denominated in a currency other than the functional currency are included in the results of operations as incurred. Transaction losses of $112,837 and $64,259 were incurred for the year ended July 31, 1996 and the period ended July 29, 1997, respectively.</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300" w:type="dxa"/>
            <w:vAlign w:val="bottom"/>
          </w:tcPr>
          <w:p>
            <w:pPr>
              <w:spacing w:after="0"/>
              <w:rPr>
                <w:sz w:val="20"/>
                <w:szCs w:val="20"/>
                <w:color w:val="auto"/>
              </w:rPr>
            </w:pPr>
            <w:r>
              <w:rPr>
                <w:rFonts w:ascii="Courier New" w:cs="Courier New" w:eastAsia="Courier New" w:hAnsi="Courier New"/>
                <w:sz w:val="15"/>
                <w:szCs w:val="15"/>
                <w:color w:val="auto"/>
              </w:rPr>
              <w:t>3.   Property and Equipment :</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5300" w:type="dxa"/>
            <w:vAlign w:val="bottom"/>
          </w:tcPr>
          <w:p>
            <w:pPr>
              <w:ind w:left="440"/>
              <w:spacing w:after="0"/>
              <w:rPr>
                <w:sz w:val="20"/>
                <w:szCs w:val="20"/>
                <w:color w:val="auto"/>
              </w:rPr>
            </w:pPr>
            <w:r>
              <w:rPr>
                <w:rFonts w:ascii="Courier New" w:cs="Courier New" w:eastAsia="Courier New" w:hAnsi="Courier New"/>
                <w:sz w:val="15"/>
                <w:szCs w:val="15"/>
                <w:color w:val="auto"/>
              </w:rPr>
              <w:t>Property and equipment consist of the following:</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5300" w:type="dxa"/>
            <w:vAlign w:val="bottom"/>
          </w:tcPr>
          <w:p>
            <w:pPr>
              <w:spacing w:after="0"/>
              <w:rPr>
                <w:sz w:val="22"/>
                <w:szCs w:val="22"/>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July 29,</w:t>
            </w:r>
          </w:p>
        </w:tc>
        <w:tc>
          <w:tcPr>
            <w:tcW w:w="0" w:type="dxa"/>
            <w:vAlign w:val="bottom"/>
          </w:tcPr>
          <w:p>
            <w:pPr>
              <w:spacing w:after="0"/>
              <w:rPr>
                <w:sz w:val="1"/>
                <w:szCs w:val="1"/>
                <w:color w:val="auto"/>
              </w:rPr>
            </w:pPr>
          </w:p>
        </w:tc>
      </w:tr>
      <w:tr>
        <w:trPr>
          <w:trHeight w:val="168"/>
        </w:trPr>
        <w:tc>
          <w:tcPr>
            <w:tcW w:w="5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168"/>
        </w:trPr>
        <w:tc>
          <w:tcPr>
            <w:tcW w:w="5300" w:type="dxa"/>
            <w:vAlign w:val="bottom"/>
            <w:vMerge w:val="restart"/>
          </w:tcPr>
          <w:p>
            <w:pPr>
              <w:ind w:left="1140"/>
              <w:spacing w:after="0"/>
              <w:rPr>
                <w:sz w:val="20"/>
                <w:szCs w:val="20"/>
                <w:color w:val="auto"/>
              </w:rPr>
            </w:pPr>
            <w:r>
              <w:rPr>
                <w:rFonts w:ascii="Courier New" w:cs="Courier New" w:eastAsia="Courier New" w:hAnsi="Courier New"/>
                <w:sz w:val="15"/>
                <w:szCs w:val="15"/>
                <w:color w:val="auto"/>
              </w:rPr>
              <w:t>Office equipment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300" w:type="dxa"/>
            <w:vAlign w:val="bottom"/>
            <w:vMerge w:val="continue"/>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210,293</w:t>
            </w:r>
          </w:p>
        </w:tc>
        <w:tc>
          <w:tcPr>
            <w:tcW w:w="0" w:type="dxa"/>
            <w:vAlign w:val="bottom"/>
          </w:tcPr>
          <w:p>
            <w:pPr>
              <w:spacing w:after="0"/>
              <w:rPr>
                <w:sz w:val="1"/>
                <w:szCs w:val="1"/>
                <w:color w:val="auto"/>
              </w:rPr>
            </w:pPr>
          </w:p>
        </w:tc>
      </w:tr>
      <w:tr>
        <w:trPr>
          <w:trHeight w:val="168"/>
        </w:trPr>
        <w:tc>
          <w:tcPr>
            <w:tcW w:w="53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Furniture and fixtures</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63,386</w:t>
            </w:r>
          </w:p>
        </w:tc>
        <w:tc>
          <w:tcPr>
            <w:tcW w:w="0" w:type="dxa"/>
            <w:vAlign w:val="bottom"/>
          </w:tcPr>
          <w:p>
            <w:pPr>
              <w:spacing w:after="0"/>
              <w:rPr>
                <w:sz w:val="1"/>
                <w:szCs w:val="1"/>
                <w:color w:val="auto"/>
              </w:rPr>
            </w:pPr>
          </w:p>
        </w:tc>
      </w:tr>
      <w:tr>
        <w:trPr>
          <w:trHeight w:val="168"/>
        </w:trPr>
        <w:tc>
          <w:tcPr>
            <w:tcW w:w="53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Leasehold improvements</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9,134</w:t>
            </w:r>
          </w:p>
        </w:tc>
        <w:tc>
          <w:tcPr>
            <w:tcW w:w="0" w:type="dxa"/>
            <w:vAlign w:val="bottom"/>
          </w:tcPr>
          <w:p>
            <w:pPr>
              <w:spacing w:after="0"/>
              <w:rPr>
                <w:sz w:val="1"/>
                <w:szCs w:val="1"/>
                <w:color w:val="auto"/>
              </w:rPr>
            </w:pPr>
          </w:p>
        </w:tc>
      </w:tr>
      <w:tr>
        <w:trPr>
          <w:trHeight w:val="168"/>
        </w:trPr>
        <w:tc>
          <w:tcPr>
            <w:tcW w:w="5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5300" w:type="dxa"/>
            <w:vAlign w:val="bottom"/>
          </w:tcPr>
          <w:p>
            <w:pPr>
              <w:spacing w:after="0"/>
              <w:rPr>
                <w:sz w:val="21"/>
                <w:szCs w:val="21"/>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282,813</w:t>
            </w:r>
          </w:p>
        </w:tc>
        <w:tc>
          <w:tcPr>
            <w:tcW w:w="0" w:type="dxa"/>
            <w:vAlign w:val="bottom"/>
          </w:tcPr>
          <w:p>
            <w:pPr>
              <w:spacing w:after="0"/>
              <w:rPr>
                <w:sz w:val="1"/>
                <w:szCs w:val="1"/>
                <w:color w:val="auto"/>
              </w:rPr>
            </w:pPr>
          </w:p>
        </w:tc>
      </w:tr>
      <w:tr>
        <w:trPr>
          <w:trHeight w:val="427"/>
        </w:trPr>
        <w:tc>
          <w:tcPr>
            <w:tcW w:w="5300" w:type="dxa"/>
            <w:vAlign w:val="bottom"/>
          </w:tcPr>
          <w:p>
            <w:pPr>
              <w:ind w:left="1140"/>
              <w:spacing w:after="0"/>
              <w:rPr>
                <w:sz w:val="20"/>
                <w:szCs w:val="20"/>
                <w:color w:val="auto"/>
              </w:rPr>
            </w:pPr>
            <w:r>
              <w:rPr>
                <w:rFonts w:ascii="Courier New" w:cs="Courier New" w:eastAsia="Courier New" w:hAnsi="Courier New"/>
                <w:sz w:val="15"/>
                <w:szCs w:val="15"/>
                <w:color w:val="auto"/>
                <w:w w:val="99"/>
              </w:rPr>
              <w:t>Less accumulated depreciation and amortization</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(225,197)</w:t>
            </w:r>
          </w:p>
        </w:tc>
        <w:tc>
          <w:tcPr>
            <w:tcW w:w="0" w:type="dxa"/>
            <w:vAlign w:val="bottom"/>
          </w:tcPr>
          <w:p>
            <w:pPr>
              <w:spacing w:after="0"/>
              <w:rPr>
                <w:sz w:val="1"/>
                <w:szCs w:val="1"/>
                <w:color w:val="auto"/>
              </w:rPr>
            </w:pPr>
          </w:p>
        </w:tc>
      </w:tr>
      <w:tr>
        <w:trPr>
          <w:trHeight w:val="168"/>
        </w:trPr>
        <w:tc>
          <w:tcPr>
            <w:tcW w:w="5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57,616</w:t>
            </w:r>
          </w:p>
        </w:tc>
        <w:tc>
          <w:tcPr>
            <w:tcW w:w="0" w:type="dxa"/>
            <w:vAlign w:val="bottom"/>
          </w:tcPr>
          <w:p>
            <w:pPr>
              <w:spacing w:after="0"/>
              <w:rPr>
                <w:sz w:val="1"/>
                <w:szCs w:val="1"/>
                <w:color w:val="auto"/>
              </w:rPr>
            </w:pPr>
          </w:p>
        </w:tc>
      </w:tr>
      <w:tr>
        <w:trPr>
          <w:trHeight w:val="245"/>
        </w:trPr>
        <w:tc>
          <w:tcPr>
            <w:tcW w:w="5300" w:type="dxa"/>
            <w:vAlign w:val="bottom"/>
          </w:tcPr>
          <w:p>
            <w:pPr>
              <w:spacing w:after="0"/>
              <w:rPr>
                <w:sz w:val="21"/>
                <w:szCs w:val="21"/>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440" w:right="3319"/>
        <w:spacing w:after="0" w:line="381" w:lineRule="auto"/>
        <w:rPr>
          <w:sz w:val="20"/>
          <w:szCs w:val="20"/>
          <w:color w:val="auto"/>
        </w:rPr>
      </w:pPr>
      <w:r>
        <w:rPr>
          <w:rFonts w:ascii="Courier New" w:cs="Courier New" w:eastAsia="Courier New" w:hAnsi="Courier New"/>
          <w:sz w:val="14"/>
          <w:szCs w:val="14"/>
          <w:color w:val="auto"/>
        </w:rPr>
        <w:t>Depreciation and amortization expense for the year ended July 31, 1996 and the period ended July 29, 1997 was $118,987 and $88,372, respectively.</w:t>
      </w:r>
    </w:p>
    <w:p>
      <w:pPr>
        <w:spacing w:after="0" w:line="1" w:lineRule="exact"/>
        <w:rPr>
          <w:sz w:val="20"/>
          <w:szCs w:val="20"/>
          <w:color w:val="auto"/>
        </w:rPr>
      </w:pPr>
    </w:p>
    <w:p>
      <w:pPr>
        <w:ind w:left="440" w:hanging="430"/>
        <w:spacing w:after="0"/>
        <w:tabs>
          <w:tab w:leader="none" w:pos="4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66" w:lineRule="exact"/>
        <w:rPr>
          <w:rFonts w:ascii="Courier New" w:cs="Courier New" w:eastAsia="Courier New" w:hAnsi="Courier New"/>
          <w:sz w:val="15"/>
          <w:szCs w:val="15"/>
          <w:color w:val="auto"/>
        </w:rPr>
      </w:pPr>
    </w:p>
    <w:p>
      <w:pPr>
        <w:ind w:left="440"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the year ended July 31, 1996 and the period ended July 29, 1997 the Company incurred significant tax losses. These losses were carried back against prior years' profits, resulting in the Company's recognition of an income tax benefit of $292,330 in the year ended December 31, 1996 and $557,333 in the period ended July 29, 1997. The Company has fully utilized all prior years' profits available for offsetting future losses, for purposes of recovering taxes paid in prior years.</w:t>
      </w:r>
    </w:p>
    <w:p>
      <w:pPr>
        <w:spacing w:after="0" w:line="200" w:lineRule="exact"/>
        <w:rPr>
          <w:sz w:val="20"/>
          <w:szCs w:val="20"/>
          <w:color w:val="auto"/>
        </w:rPr>
      </w:pPr>
    </w:p>
    <w:p>
      <w:pPr>
        <w:spacing w:after="0" w:line="21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598" w:right="1440" w:bottom="1440" w:gutter="0" w:footer="0" w:header="0"/>
        </w:sectPr>
      </w:pPr>
    </w:p>
    <w:bookmarkStart w:id="22" w:name="page23"/>
    <w:bookmarkEnd w:id="22"/>
    <w:p>
      <w:pPr>
        <w:ind w:left="2010"/>
        <w:spacing w:after="0"/>
        <w:rPr>
          <w:sz w:val="20"/>
          <w:szCs w:val="20"/>
          <w:color w:val="auto"/>
        </w:rPr>
      </w:pPr>
      <w:r>
        <w:rPr>
          <w:rFonts w:ascii="Courier New" w:cs="Courier New" w:eastAsia="Courier New" w:hAnsi="Courier New"/>
          <w:sz w:val="15"/>
          <w:szCs w:val="15"/>
          <w:color w:val="auto"/>
        </w:rPr>
        <w:t>GAMETEK (UK) LIMITED AND SUBSIDIARY</w:t>
      </w:r>
    </w:p>
    <w:p>
      <w:pPr>
        <w:spacing w:after="0" w:line="166" w:lineRule="exact"/>
        <w:rPr>
          <w:sz w:val="20"/>
          <w:szCs w:val="20"/>
          <w:color w:val="auto"/>
        </w:rPr>
      </w:pPr>
    </w:p>
    <w:p>
      <w:pPr>
        <w:ind w:left="113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6" w:lineRule="exact"/>
        <w:rPr>
          <w:sz w:val="20"/>
          <w:szCs w:val="20"/>
          <w:color w:val="auto"/>
        </w:rPr>
      </w:pPr>
    </w:p>
    <w:p>
      <w:pPr>
        <w:ind w:left="430" w:right="3399"/>
        <w:spacing w:after="0" w:line="344" w:lineRule="auto"/>
        <w:rPr>
          <w:sz w:val="20"/>
          <w:szCs w:val="20"/>
          <w:color w:val="auto"/>
        </w:rPr>
      </w:pPr>
      <w:r>
        <w:rPr>
          <w:rFonts w:ascii="Courier New" w:cs="Courier New" w:eastAsia="Courier New" w:hAnsi="Courier New"/>
          <w:sz w:val="15"/>
          <w:szCs w:val="15"/>
          <w:color w:val="auto"/>
        </w:rPr>
        <w:t>The components of the net deferred tax assets as of July 29, 1997 consist of the following:</w:t>
      </w:r>
    </w:p>
    <w:p>
      <w:pPr>
        <w:spacing w:after="0" w:line="17" w:lineRule="exact"/>
        <w:rPr>
          <w:sz w:val="20"/>
          <w:szCs w:val="20"/>
          <w:color w:val="auto"/>
        </w:rPr>
      </w:pPr>
    </w:p>
    <w:tbl>
      <w:tblPr>
        <w:tblLayout w:type="fixed"/>
        <w:tblInd w:w="610" w:type="dxa"/>
        <w:tblCellMar>
          <w:top w:w="0" w:type="dxa"/>
          <w:left w:w="0" w:type="dxa"/>
          <w:bottom w:w="0" w:type="dxa"/>
          <w:right w:w="0" w:type="dxa"/>
        </w:tblCellMar>
      </w:tblPr>
      <w:tr>
        <w:trPr>
          <w:trHeight w:val="245"/>
        </w:trPr>
        <w:tc>
          <w:tcPr>
            <w:tcW w:w="3280" w:type="dxa"/>
            <w:vAlign w:val="bottom"/>
          </w:tcPr>
          <w:p>
            <w:pPr>
              <w:spacing w:after="0"/>
              <w:rPr>
                <w:sz w:val="20"/>
                <w:szCs w:val="20"/>
                <w:color w:val="auto"/>
              </w:rPr>
            </w:pPr>
            <w:r>
              <w:rPr>
                <w:rFonts w:ascii="Courier New" w:cs="Courier New" w:eastAsia="Courier New" w:hAnsi="Courier New"/>
                <w:sz w:val="15"/>
                <w:szCs w:val="15"/>
                <w:color w:val="auto"/>
              </w:rPr>
              <w:t>Net operating loss carryforwards</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(803,590)</w:t>
            </w:r>
          </w:p>
        </w:tc>
        <w:tc>
          <w:tcPr>
            <w:tcW w:w="0" w:type="dxa"/>
            <w:vAlign w:val="bottom"/>
          </w:tcPr>
          <w:p>
            <w:pPr>
              <w:spacing w:after="0"/>
              <w:rPr>
                <w:sz w:val="1"/>
                <w:szCs w:val="1"/>
                <w:color w:val="auto"/>
              </w:rPr>
            </w:pP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Depreciation</w:t>
            </w:r>
          </w:p>
        </w:tc>
        <w:tc>
          <w:tcPr>
            <w:tcW w:w="7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(27,290)</w:t>
            </w:r>
          </w:p>
        </w:tc>
        <w:tc>
          <w:tcPr>
            <w:tcW w:w="0" w:type="dxa"/>
            <w:vAlign w:val="bottom"/>
          </w:tcPr>
          <w:p>
            <w:pPr>
              <w:spacing w:after="0"/>
              <w:rPr>
                <w:sz w:val="1"/>
                <w:szCs w:val="1"/>
                <w:color w:val="auto"/>
              </w:rPr>
            </w:pPr>
          </w:p>
        </w:tc>
      </w:tr>
      <w:tr>
        <w:trPr>
          <w:trHeight w:val="259"/>
        </w:trPr>
        <w:tc>
          <w:tcPr>
            <w:tcW w:w="32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7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2,409</w:t>
            </w:r>
          </w:p>
        </w:tc>
        <w:tc>
          <w:tcPr>
            <w:tcW w:w="0" w:type="dxa"/>
            <w:vAlign w:val="bottom"/>
          </w:tcPr>
          <w:p>
            <w:pPr>
              <w:spacing w:after="0"/>
              <w:rPr>
                <w:sz w:val="1"/>
                <w:szCs w:val="1"/>
                <w:color w:val="auto"/>
              </w:rPr>
            </w:pPr>
          </w:p>
        </w:tc>
      </w:tr>
      <w:tr>
        <w:trPr>
          <w:trHeight w:val="168"/>
        </w:trPr>
        <w:tc>
          <w:tcPr>
            <w:tcW w:w="3280" w:type="dxa"/>
            <w:vAlign w:val="bottom"/>
            <w:vMerge w:val="restart"/>
          </w:tcPr>
          <w:p>
            <w:pPr>
              <w:ind w:left="520"/>
              <w:spacing w:after="0"/>
              <w:rPr>
                <w:sz w:val="20"/>
                <w:szCs w:val="20"/>
                <w:color w:val="auto"/>
              </w:rPr>
            </w:pPr>
            <w:r>
              <w:rPr>
                <w:rFonts w:ascii="Courier New" w:cs="Courier New" w:eastAsia="Courier New" w:hAnsi="Courier New"/>
                <w:sz w:val="15"/>
                <w:szCs w:val="15"/>
                <w:color w:val="auto"/>
              </w:rPr>
              <w:t>Net deferred tax assets</w:t>
            </w:r>
          </w:p>
        </w:tc>
        <w:tc>
          <w:tcPr>
            <w:tcW w:w="1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3280" w:type="dxa"/>
            <w:vAlign w:val="bottom"/>
            <w:vMerge w:val="continue"/>
          </w:tcPr>
          <w:p>
            <w:pPr>
              <w:spacing w:after="0"/>
              <w:rPr>
                <w:sz w:val="21"/>
                <w:szCs w:val="21"/>
                <w:color w:val="auto"/>
              </w:rPr>
            </w:pPr>
          </w:p>
        </w:tc>
        <w:tc>
          <w:tcPr>
            <w:tcW w:w="7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(828,471)</w:t>
            </w:r>
          </w:p>
        </w:tc>
        <w:tc>
          <w:tcPr>
            <w:tcW w:w="0" w:type="dxa"/>
            <w:vAlign w:val="bottom"/>
          </w:tcPr>
          <w:p>
            <w:pPr>
              <w:spacing w:after="0"/>
              <w:rPr>
                <w:sz w:val="1"/>
                <w:szCs w:val="1"/>
                <w:color w:val="auto"/>
              </w:rPr>
            </w:pPr>
          </w:p>
        </w:tc>
      </w:tr>
      <w:tr>
        <w:trPr>
          <w:trHeight w:val="259"/>
        </w:trPr>
        <w:tc>
          <w:tcPr>
            <w:tcW w:w="3280" w:type="dxa"/>
            <w:vAlign w:val="bottom"/>
          </w:tcPr>
          <w:p>
            <w:pPr>
              <w:ind w:left="520"/>
              <w:spacing w:after="0"/>
              <w:rPr>
                <w:sz w:val="20"/>
                <w:szCs w:val="20"/>
                <w:color w:val="auto"/>
              </w:rPr>
            </w:pPr>
            <w:r>
              <w:rPr>
                <w:rFonts w:ascii="Courier New" w:cs="Courier New" w:eastAsia="Courier New" w:hAnsi="Courier New"/>
                <w:sz w:val="15"/>
                <w:szCs w:val="15"/>
                <w:color w:val="auto"/>
              </w:rPr>
              <w:t>Less: valuation allowance</w:t>
            </w:r>
          </w:p>
        </w:tc>
        <w:tc>
          <w:tcPr>
            <w:tcW w:w="7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828,471</w:t>
            </w:r>
          </w:p>
        </w:tc>
        <w:tc>
          <w:tcPr>
            <w:tcW w:w="0" w:type="dxa"/>
            <w:vAlign w:val="bottom"/>
          </w:tcPr>
          <w:p>
            <w:pPr>
              <w:spacing w:after="0"/>
              <w:rPr>
                <w:sz w:val="1"/>
                <w:szCs w:val="1"/>
                <w:color w:val="auto"/>
              </w:rPr>
            </w:pPr>
          </w:p>
        </w:tc>
      </w:tr>
      <w:tr>
        <w:trPr>
          <w:trHeight w:val="168"/>
        </w:trPr>
        <w:tc>
          <w:tcPr>
            <w:tcW w:w="3280" w:type="dxa"/>
            <w:vAlign w:val="bottom"/>
            <w:vMerge w:val="restart"/>
          </w:tcPr>
          <w:p>
            <w:pPr>
              <w:ind w:left="520"/>
              <w:spacing w:after="0"/>
              <w:rPr>
                <w:sz w:val="20"/>
                <w:szCs w:val="20"/>
                <w:color w:val="auto"/>
              </w:rPr>
            </w:pPr>
            <w:r>
              <w:rPr>
                <w:rFonts w:ascii="Courier New" w:cs="Courier New" w:eastAsia="Courier New" w:hAnsi="Courier New"/>
                <w:sz w:val="15"/>
                <w:szCs w:val="15"/>
                <w:color w:val="auto"/>
              </w:rPr>
              <w:t>Deferred tax asset</w:t>
            </w:r>
          </w:p>
        </w:tc>
        <w:tc>
          <w:tcPr>
            <w:tcW w:w="1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280" w:type="dxa"/>
            <w:vAlign w:val="bottom"/>
            <w:vMerge w:val="continue"/>
          </w:tcPr>
          <w:p>
            <w:pPr>
              <w:spacing w:after="0"/>
              <w:rPr>
                <w:sz w:val="14"/>
                <w:szCs w:val="14"/>
                <w:color w:val="auto"/>
              </w:rPr>
            </w:pP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94"/>
        </w:trPr>
        <w:tc>
          <w:tcPr>
            <w:tcW w:w="3280" w:type="dxa"/>
            <w:vAlign w:val="bottom"/>
          </w:tcPr>
          <w:p>
            <w:pPr>
              <w:spacing w:after="0"/>
              <w:rPr>
                <w:sz w:val="16"/>
                <w:szCs w:val="16"/>
                <w:color w:val="auto"/>
              </w:rPr>
            </w:pPr>
          </w:p>
        </w:tc>
        <w:tc>
          <w:tcPr>
            <w:tcW w:w="1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ind w:left="430" w:hanging="430"/>
        <w:spacing w:after="0"/>
        <w:tabs>
          <w:tab w:leader="none" w:pos="43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w:t>
      </w:r>
    </w:p>
    <w:p>
      <w:pPr>
        <w:spacing w:after="0" w:line="140" w:lineRule="exact"/>
        <w:rPr>
          <w:rFonts w:ascii="Courier New" w:cs="Courier New" w:eastAsia="Courier New" w:hAnsi="Courier New"/>
          <w:sz w:val="15"/>
          <w:szCs w:val="15"/>
          <w:color w:val="auto"/>
        </w:rPr>
      </w:pPr>
    </w:p>
    <w:p>
      <w:pPr>
        <w:ind w:left="430" w:right="3319"/>
        <w:spacing w:after="0" w:line="27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occupies one office facility, which is under a noncancelable operating lease and expires in August 2006. In addition, the Company has leased certain equipment under noncancelable operating leases which expire through the year 2000.</w:t>
      </w:r>
    </w:p>
    <w:p>
      <w:pPr>
        <w:spacing w:after="0" w:line="67" w:lineRule="exact"/>
        <w:rPr>
          <w:rFonts w:ascii="Courier New" w:cs="Courier New" w:eastAsia="Courier New" w:hAnsi="Courier New"/>
          <w:sz w:val="15"/>
          <w:szCs w:val="15"/>
          <w:color w:val="auto"/>
        </w:rPr>
      </w:pPr>
    </w:p>
    <w:p>
      <w:pPr>
        <w:ind w:left="4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Future minimum rentals required as of July 29, 1997 are as follows:</w:t>
      </w:r>
    </w:p>
    <w:p>
      <w:pPr>
        <w:spacing w:after="0" w:line="166" w:lineRule="exact"/>
        <w:rPr>
          <w:sz w:val="20"/>
          <w:szCs w:val="20"/>
          <w:color w:val="auto"/>
        </w:rPr>
      </w:pPr>
    </w:p>
    <w:tbl>
      <w:tblPr>
        <w:tblLayout w:type="fixed"/>
        <w:tblInd w:w="610" w:type="dxa"/>
        <w:tblCellMar>
          <w:top w:w="0" w:type="dxa"/>
          <w:left w:w="0" w:type="dxa"/>
          <w:bottom w:w="0" w:type="dxa"/>
          <w:right w:w="0" w:type="dxa"/>
        </w:tblCellMar>
      </w:tblPr>
      <w:tr>
        <w:trPr>
          <w:trHeight w:val="245"/>
        </w:trPr>
        <w:tc>
          <w:tcPr>
            <w:tcW w:w="2140" w:type="dxa"/>
            <w:vAlign w:val="bottom"/>
            <w:gridSpan w:val="2"/>
          </w:tcPr>
          <w:p>
            <w:pPr>
              <w:spacing w:after="0"/>
              <w:rPr>
                <w:sz w:val="20"/>
                <w:szCs w:val="20"/>
                <w:color w:val="auto"/>
              </w:rPr>
            </w:pPr>
            <w:r>
              <w:rPr>
                <w:rFonts w:ascii="Courier New" w:cs="Courier New" w:eastAsia="Courier New" w:hAnsi="Courier New"/>
                <w:sz w:val="15"/>
                <w:szCs w:val="15"/>
                <w:color w:val="auto"/>
              </w:rPr>
              <w:t>Year ending July 31,</w:t>
            </w: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0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74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194,009</w:t>
            </w:r>
          </w:p>
        </w:tc>
        <w:tc>
          <w:tcPr>
            <w:tcW w:w="0" w:type="dxa"/>
            <w:vAlign w:val="bottom"/>
          </w:tcPr>
          <w:p>
            <w:pPr>
              <w:spacing w:after="0"/>
              <w:rPr>
                <w:sz w:val="1"/>
                <w:szCs w:val="1"/>
                <w:color w:val="auto"/>
              </w:rPr>
            </w:pP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1999</w:t>
            </w:r>
          </w:p>
        </w:tc>
        <w:tc>
          <w:tcPr>
            <w:tcW w:w="174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178,537</w:t>
            </w:r>
          </w:p>
        </w:tc>
        <w:tc>
          <w:tcPr>
            <w:tcW w:w="0" w:type="dxa"/>
            <w:vAlign w:val="bottom"/>
          </w:tcPr>
          <w:p>
            <w:pPr>
              <w:spacing w:after="0"/>
              <w:rPr>
                <w:sz w:val="1"/>
                <w:szCs w:val="1"/>
                <w:color w:val="auto"/>
              </w:rPr>
            </w:pP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2000</w:t>
            </w:r>
          </w:p>
        </w:tc>
        <w:tc>
          <w:tcPr>
            <w:tcW w:w="174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177,933</w:t>
            </w:r>
          </w:p>
        </w:tc>
        <w:tc>
          <w:tcPr>
            <w:tcW w:w="0" w:type="dxa"/>
            <w:vAlign w:val="bottom"/>
          </w:tcPr>
          <w:p>
            <w:pPr>
              <w:spacing w:after="0"/>
              <w:rPr>
                <w:sz w:val="1"/>
                <w:szCs w:val="1"/>
                <w:color w:val="auto"/>
              </w:rPr>
            </w:pP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2001</w:t>
            </w:r>
          </w:p>
        </w:tc>
        <w:tc>
          <w:tcPr>
            <w:tcW w:w="174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and after</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163,110</w:t>
            </w:r>
          </w:p>
        </w:tc>
        <w:tc>
          <w:tcPr>
            <w:tcW w:w="0" w:type="dxa"/>
            <w:vAlign w:val="bottom"/>
          </w:tcPr>
          <w:p>
            <w:pPr>
              <w:spacing w:after="0"/>
              <w:rPr>
                <w:sz w:val="1"/>
                <w:szCs w:val="1"/>
                <w:color w:val="auto"/>
              </w:rPr>
            </w:pP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2002</w:t>
            </w:r>
          </w:p>
        </w:tc>
        <w:tc>
          <w:tcPr>
            <w:tcW w:w="1740" w:type="dxa"/>
            <w:vAlign w:val="bottom"/>
            <w:vMerge w:val="continue"/>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829,143</w:t>
            </w:r>
          </w:p>
        </w:tc>
        <w:tc>
          <w:tcPr>
            <w:tcW w:w="0" w:type="dxa"/>
            <w:vAlign w:val="bottom"/>
          </w:tcPr>
          <w:p>
            <w:pPr>
              <w:spacing w:after="0"/>
              <w:rPr>
                <w:sz w:val="1"/>
                <w:szCs w:val="1"/>
                <w:color w:val="auto"/>
              </w:rPr>
            </w:pPr>
          </w:p>
        </w:tc>
      </w:tr>
      <w:tr>
        <w:trPr>
          <w:trHeight w:val="168"/>
        </w:trPr>
        <w:tc>
          <w:tcPr>
            <w:tcW w:w="4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1,542,732</w:t>
            </w:r>
          </w:p>
        </w:tc>
        <w:tc>
          <w:tcPr>
            <w:tcW w:w="0" w:type="dxa"/>
            <w:vAlign w:val="bottom"/>
          </w:tcPr>
          <w:p>
            <w:pPr>
              <w:spacing w:after="0"/>
              <w:rPr>
                <w:sz w:val="1"/>
                <w:szCs w:val="1"/>
                <w:color w:val="auto"/>
              </w:rPr>
            </w:pPr>
          </w:p>
        </w:tc>
      </w:tr>
      <w:tr>
        <w:trPr>
          <w:trHeight w:val="245"/>
        </w:trPr>
        <w:tc>
          <w:tcPr>
            <w:tcW w:w="4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30" w:right="3239"/>
        <w:spacing w:after="0" w:line="344" w:lineRule="auto"/>
        <w:rPr>
          <w:sz w:val="20"/>
          <w:szCs w:val="20"/>
          <w:color w:val="auto"/>
        </w:rPr>
      </w:pPr>
      <w:r>
        <w:rPr>
          <w:rFonts w:ascii="Courier New" w:cs="Courier New" w:eastAsia="Courier New" w:hAnsi="Courier New"/>
          <w:sz w:val="15"/>
          <w:szCs w:val="15"/>
          <w:color w:val="auto"/>
        </w:rPr>
        <w:t>Rent expense for the year ended July 31, 1996 and the period ended July 29, 1997 was $107,482 and $154,857, respectively.</w:t>
      </w:r>
    </w:p>
    <w:p>
      <w:pPr>
        <w:spacing w:after="0" w:line="17" w:lineRule="exact"/>
        <w:rPr>
          <w:sz w:val="20"/>
          <w:szCs w:val="20"/>
          <w:color w:val="auto"/>
        </w:rPr>
      </w:pPr>
    </w:p>
    <w:p>
      <w:pPr>
        <w:jc w:val="both"/>
        <w:ind w:left="430" w:right="3239"/>
        <w:spacing w:after="0" w:line="381" w:lineRule="auto"/>
        <w:rPr>
          <w:sz w:val="20"/>
          <w:szCs w:val="20"/>
          <w:color w:val="auto"/>
        </w:rPr>
      </w:pPr>
      <w:r>
        <w:rPr>
          <w:rFonts w:ascii="Courier New" w:cs="Courier New" w:eastAsia="Courier New" w:hAnsi="Courier New"/>
          <w:sz w:val="14"/>
          <w:szCs w:val="14"/>
          <w:color w:val="auto"/>
        </w:rPr>
        <w:t>The company has firm commitments with third party software developers under which it is obligated to pay $264,860 during the year ended July 31, 1998.</w:t>
      </w:r>
    </w:p>
    <w:p>
      <w:pPr>
        <w:spacing w:after="0" w:line="1" w:lineRule="exact"/>
        <w:rPr>
          <w:sz w:val="20"/>
          <w:szCs w:val="20"/>
          <w:color w:val="auto"/>
        </w:rPr>
      </w:pPr>
    </w:p>
    <w:p>
      <w:pPr>
        <w:ind w:left="430"/>
        <w:spacing w:after="0"/>
        <w:tabs>
          <w:tab w:leader="none" w:pos="850" w:val="left"/>
          <w:tab w:leader="none" w:pos="1650" w:val="left"/>
          <w:tab w:leader="none" w:pos="2250" w:val="left"/>
          <w:tab w:leader="none" w:pos="2770" w:val="left"/>
          <w:tab w:leader="none" w:pos="3750" w:val="left"/>
          <w:tab w:leader="none" w:pos="4610" w:val="left"/>
          <w:tab w:leader="none" w:pos="5410" w:val="left"/>
          <w:tab w:leader="none" w:pos="6110" w:val="left"/>
        </w:tabs>
        <w:rPr>
          <w:sz w:val="20"/>
          <w:szCs w:val="20"/>
          <w:color w:val="auto"/>
        </w:rPr>
      </w:pPr>
      <w:r>
        <w:rPr>
          <w:rFonts w:ascii="Courier New" w:cs="Courier New" w:eastAsia="Courier New" w:hAnsi="Courier New"/>
          <w:sz w:val="15"/>
          <w:szCs w:val="15"/>
          <w:color w:val="auto"/>
        </w:rPr>
        <w:t>The</w:t>
        <w:tab/>
        <w:t>company</w:t>
        <w:tab/>
        <w:t>had a</w:t>
        <w:tab/>
        <w:t>bank</w:t>
        <w:tab/>
        <w:t>guarantee</w:t>
        <w:tab/>
        <w:t>of up to</w:t>
        <w:tab/>
        <w:t>200,000</w:t>
        <w:tab/>
        <w:t>pounds</w:t>
      </w:r>
      <w:r>
        <w:rPr>
          <w:sz w:val="20"/>
          <w:szCs w:val="20"/>
          <w:color w:val="auto"/>
        </w:rPr>
        <w:tab/>
      </w:r>
      <w:r>
        <w:rPr>
          <w:rFonts w:ascii="Courier New" w:cs="Courier New" w:eastAsia="Courier New" w:hAnsi="Courier New"/>
          <w:sz w:val="14"/>
          <w:szCs w:val="14"/>
          <w:color w:val="auto"/>
        </w:rPr>
        <w:t>($328,000)</w:t>
      </w:r>
    </w:p>
    <w:p>
      <w:pPr>
        <w:spacing w:after="0" w:line="24" w:lineRule="exact"/>
        <w:rPr>
          <w:sz w:val="20"/>
          <w:szCs w:val="20"/>
          <w:color w:val="auto"/>
        </w:rPr>
      </w:pPr>
    </w:p>
    <w:p>
      <w:pPr>
        <w:ind w:left="430"/>
        <w:spacing w:after="0"/>
        <w:rPr>
          <w:sz w:val="20"/>
          <w:szCs w:val="20"/>
          <w:color w:val="auto"/>
        </w:rPr>
      </w:pPr>
      <w:r>
        <w:rPr>
          <w:rFonts w:ascii="Courier New" w:cs="Courier New" w:eastAsia="Courier New" w:hAnsi="Courier New"/>
          <w:sz w:val="15"/>
          <w:szCs w:val="15"/>
          <w:color w:val="auto"/>
        </w:rPr>
        <w:t>covering the payment of duty on imported goods.</w:t>
      </w:r>
    </w:p>
    <w:p>
      <w:pPr>
        <w:spacing w:after="0" w:line="309"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9"/>
          </w:cols>
          <w:pgMar w:left="230" w:top="598" w:right="1440" w:bottom="1440" w:gutter="0" w:footer="0" w:header="0"/>
        </w:sectPr>
      </w:pPr>
    </w:p>
    <w:bookmarkStart w:id="23" w:name="page24"/>
    <w:bookmarkEnd w:id="23"/>
    <w:p>
      <w:pPr>
        <w:ind w:left="2010"/>
        <w:spacing w:after="0"/>
        <w:rPr>
          <w:sz w:val="20"/>
          <w:szCs w:val="20"/>
          <w:color w:val="auto"/>
        </w:rPr>
      </w:pPr>
      <w:r>
        <w:rPr>
          <w:rFonts w:ascii="Courier New" w:cs="Courier New" w:eastAsia="Courier New" w:hAnsi="Courier New"/>
          <w:sz w:val="15"/>
          <w:szCs w:val="15"/>
          <w:color w:val="auto"/>
        </w:rPr>
        <w:t>GAMETEK (UK) LIMITED AND SUBSIDIARY</w:t>
      </w:r>
    </w:p>
    <w:p>
      <w:pPr>
        <w:spacing w:after="0" w:line="166" w:lineRule="exact"/>
        <w:rPr>
          <w:sz w:val="20"/>
          <w:szCs w:val="20"/>
          <w:color w:val="auto"/>
        </w:rPr>
      </w:pPr>
    </w:p>
    <w:p>
      <w:pPr>
        <w:ind w:left="113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35" w:lineRule="exact"/>
        <w:rPr>
          <w:sz w:val="20"/>
          <w:szCs w:val="20"/>
          <w:color w:val="auto"/>
        </w:rPr>
      </w:pPr>
    </w:p>
    <w:p>
      <w:pPr>
        <w:ind w:left="430" w:hanging="430"/>
        <w:spacing w:after="0"/>
        <w:tabs>
          <w:tab w:leader="none" w:pos="43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Line of Credit</w:t>
      </w:r>
    </w:p>
    <w:p>
      <w:pPr>
        <w:spacing w:after="0" w:line="166" w:lineRule="exact"/>
        <w:rPr>
          <w:rFonts w:ascii="Courier New" w:cs="Courier New" w:eastAsia="Courier New" w:hAnsi="Courier New"/>
          <w:sz w:val="15"/>
          <w:szCs w:val="15"/>
          <w:color w:val="auto"/>
        </w:rPr>
      </w:pPr>
    </w:p>
    <w:p>
      <w:pPr>
        <w:ind w:left="430" w:right="3399"/>
        <w:spacing w:after="0" w:line="27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 line of credit with Barclays Bank PLC, with a credit limit of 400,000 pounds ($656,000). Interest is charged on the account at 2.25% above the base (LIBOR-7%) rate. At July 29, 1997, the Company's outstanding borrowing balance was 387,460 pounds ($635,434).</w:t>
      </w:r>
    </w:p>
    <w:p>
      <w:pPr>
        <w:spacing w:after="0" w:line="67" w:lineRule="exact"/>
        <w:rPr>
          <w:rFonts w:ascii="Courier New" w:cs="Courier New" w:eastAsia="Courier New" w:hAnsi="Courier New"/>
          <w:sz w:val="15"/>
          <w:szCs w:val="15"/>
          <w:color w:val="auto"/>
        </w:rPr>
      </w:pPr>
    </w:p>
    <w:p>
      <w:pPr>
        <w:ind w:left="430" w:hanging="430"/>
        <w:spacing w:after="0"/>
        <w:tabs>
          <w:tab w:leader="none" w:pos="43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Party Transactions</w:t>
      </w:r>
    </w:p>
    <w:p>
      <w:pPr>
        <w:spacing w:after="0" w:line="166" w:lineRule="exact"/>
        <w:rPr>
          <w:rFonts w:ascii="Courier New" w:cs="Courier New" w:eastAsia="Courier New" w:hAnsi="Courier New"/>
          <w:sz w:val="15"/>
          <w:szCs w:val="15"/>
          <w:color w:val="auto"/>
        </w:rPr>
      </w:pPr>
    </w:p>
    <w:p>
      <w:pPr>
        <w:ind w:left="430" w:right="3239"/>
        <w:spacing w:after="0" w:line="27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year ended July 31, 1996 and the period ended July 29, 1997 the Company entered into certain royalty and trading transactions with its previous parent company, GameTek, Inc. These transactions are summarized as follows:</w:t>
      </w:r>
    </w:p>
    <w:p>
      <w:pPr>
        <w:spacing w:after="0" w:line="66" w:lineRule="exact"/>
        <w:rPr>
          <w:sz w:val="20"/>
          <w:szCs w:val="20"/>
          <w:color w:val="auto"/>
        </w:rPr>
      </w:pPr>
    </w:p>
    <w:tbl>
      <w:tblPr>
        <w:tblLayout w:type="fixed"/>
        <w:tblInd w:w="2090" w:type="dxa"/>
        <w:tblCellMar>
          <w:top w:w="0" w:type="dxa"/>
          <w:left w:w="0" w:type="dxa"/>
          <w:bottom w:w="0" w:type="dxa"/>
          <w:right w:w="0" w:type="dxa"/>
        </w:tblCellMar>
      </w:tblPr>
      <w:tr>
        <w:trPr>
          <w:trHeight w:val="170"/>
        </w:trPr>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July 31,</w:t>
            </w: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July 29,</w:t>
            </w:r>
          </w:p>
        </w:tc>
        <w:tc>
          <w:tcPr>
            <w:tcW w:w="0" w:type="dxa"/>
            <w:vAlign w:val="bottom"/>
          </w:tcPr>
          <w:p>
            <w:pPr>
              <w:spacing w:after="0"/>
              <w:rPr>
                <w:sz w:val="1"/>
                <w:szCs w:val="1"/>
                <w:color w:val="auto"/>
              </w:rPr>
            </w:pPr>
          </w:p>
        </w:tc>
      </w:tr>
      <w:tr>
        <w:trPr>
          <w:trHeight w:val="245"/>
        </w:trPr>
        <w:tc>
          <w:tcPr>
            <w:tcW w:w="2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ind w:left="400"/>
              <w:spacing w:after="0"/>
              <w:rPr>
                <w:sz w:val="20"/>
                <w:szCs w:val="20"/>
                <w:color w:val="auto"/>
              </w:rPr>
            </w:pPr>
            <w:r>
              <w:rPr>
                <w:rFonts w:ascii="Courier New" w:cs="Courier New" w:eastAsia="Courier New" w:hAnsi="Courier New"/>
                <w:sz w:val="15"/>
                <w:szCs w:val="15"/>
                <w:color w:val="auto"/>
              </w:rPr>
              <w:t>1996</w:t>
            </w: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59"/>
        </w:trPr>
        <w:tc>
          <w:tcPr>
            <w:tcW w:w="2760" w:type="dxa"/>
            <w:vAlign w:val="bottom"/>
          </w:tcPr>
          <w:p>
            <w:pPr>
              <w:spacing w:after="0"/>
              <w:rPr>
                <w:sz w:val="20"/>
                <w:szCs w:val="20"/>
                <w:color w:val="auto"/>
              </w:rPr>
            </w:pPr>
            <w:r>
              <w:rPr>
                <w:rFonts w:ascii="Courier New" w:cs="Courier New" w:eastAsia="Courier New" w:hAnsi="Courier New"/>
                <w:sz w:val="15"/>
                <w:szCs w:val="15"/>
                <w:color w:val="auto"/>
              </w:rPr>
              <w:t>Sales to GameTek, Inc</w:t>
            </w:r>
          </w:p>
        </w:tc>
        <w:tc>
          <w:tcPr>
            <w:tcW w:w="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125,415</w:t>
            </w:r>
          </w:p>
        </w:tc>
        <w:tc>
          <w:tcPr>
            <w:tcW w:w="0" w:type="dxa"/>
            <w:vAlign w:val="bottom"/>
          </w:tcPr>
          <w:p>
            <w:pPr>
              <w:spacing w:after="0"/>
              <w:rPr>
                <w:sz w:val="1"/>
                <w:szCs w:val="1"/>
                <w:color w:val="auto"/>
              </w:rPr>
            </w:pPr>
          </w:p>
        </w:tc>
      </w:tr>
      <w:tr>
        <w:trPr>
          <w:trHeight w:val="168"/>
        </w:trPr>
        <w:tc>
          <w:tcPr>
            <w:tcW w:w="2760" w:type="dxa"/>
            <w:vAlign w:val="bottom"/>
            <w:vMerge w:val="restart"/>
          </w:tcPr>
          <w:p>
            <w:pPr>
              <w:spacing w:after="0"/>
              <w:rPr>
                <w:sz w:val="20"/>
                <w:szCs w:val="20"/>
                <w:color w:val="auto"/>
              </w:rPr>
            </w:pPr>
            <w:r>
              <w:rPr>
                <w:rFonts w:ascii="Courier New" w:cs="Courier New" w:eastAsia="Courier New" w:hAnsi="Courier New"/>
                <w:sz w:val="15"/>
                <w:szCs w:val="15"/>
                <w:color w:val="auto"/>
              </w:rPr>
              <w:t>Purchases from GameTek, Inc</w:t>
            </w:r>
          </w:p>
        </w:tc>
        <w:tc>
          <w:tcPr>
            <w:tcW w:w="11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760" w:type="dxa"/>
            <w:vAlign w:val="bottom"/>
            <w:vMerge w:val="continue"/>
          </w:tcPr>
          <w:p>
            <w:pPr>
              <w:spacing w:after="0"/>
              <w:rPr>
                <w:sz w:val="14"/>
                <w:szCs w:val="14"/>
                <w:color w:val="auto"/>
              </w:rPr>
            </w:pPr>
          </w:p>
        </w:tc>
        <w:tc>
          <w:tcPr>
            <w:tcW w:w="2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322,721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99,644</w:t>
            </w:r>
          </w:p>
        </w:tc>
        <w:tc>
          <w:tcPr>
            <w:tcW w:w="0" w:type="dxa"/>
            <w:vAlign w:val="bottom"/>
          </w:tcPr>
          <w:p>
            <w:pPr>
              <w:spacing w:after="0"/>
              <w:rPr>
                <w:sz w:val="1"/>
                <w:szCs w:val="1"/>
                <w:color w:val="auto"/>
              </w:rPr>
            </w:pPr>
          </w:p>
        </w:tc>
      </w:tr>
      <w:tr>
        <w:trPr>
          <w:trHeight w:val="168"/>
        </w:trPr>
        <w:tc>
          <w:tcPr>
            <w:tcW w:w="2760" w:type="dxa"/>
            <w:vAlign w:val="bottom"/>
            <w:vMerge w:val="restart"/>
          </w:tcPr>
          <w:p>
            <w:pPr>
              <w:spacing w:after="0"/>
              <w:rPr>
                <w:sz w:val="20"/>
                <w:szCs w:val="20"/>
                <w:color w:val="auto"/>
              </w:rPr>
            </w:pPr>
            <w:r>
              <w:rPr>
                <w:rFonts w:ascii="Courier New" w:cs="Courier New" w:eastAsia="Courier New" w:hAnsi="Courier New"/>
                <w:sz w:val="15"/>
                <w:szCs w:val="15"/>
                <w:color w:val="auto"/>
              </w:rPr>
              <w:t>Royalties paid to GameTek, Inc</w:t>
            </w:r>
          </w:p>
        </w:tc>
        <w:tc>
          <w:tcPr>
            <w:tcW w:w="11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760" w:type="dxa"/>
            <w:vAlign w:val="bottom"/>
            <w:vMerge w:val="continue"/>
          </w:tcPr>
          <w:p>
            <w:pPr>
              <w:spacing w:after="0"/>
              <w:rPr>
                <w:sz w:val="14"/>
                <w:szCs w:val="14"/>
                <w:color w:val="auto"/>
              </w:rPr>
            </w:pPr>
          </w:p>
        </w:tc>
        <w:tc>
          <w:tcPr>
            <w:tcW w:w="2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$1,426,402</w:t>
            </w:r>
          </w:p>
        </w:tc>
        <w:tc>
          <w:tcPr>
            <w:tcW w:w="0" w:type="dxa"/>
            <w:vAlign w:val="bottom"/>
          </w:tcPr>
          <w:p>
            <w:pPr>
              <w:spacing w:after="0"/>
              <w:rPr>
                <w:sz w:val="1"/>
                <w:szCs w:val="1"/>
                <w:color w:val="auto"/>
              </w:rPr>
            </w:pPr>
          </w:p>
        </w:tc>
      </w:tr>
      <w:tr>
        <w:trPr>
          <w:trHeight w:val="245"/>
        </w:trPr>
        <w:tc>
          <w:tcPr>
            <w:tcW w:w="2760" w:type="dxa"/>
            <w:vAlign w:val="bottom"/>
          </w:tcPr>
          <w:p>
            <w:pPr>
              <w:spacing w:after="0"/>
              <w:rPr>
                <w:sz w:val="21"/>
                <w:szCs w:val="21"/>
                <w:color w:val="auto"/>
              </w:rPr>
            </w:pPr>
          </w:p>
        </w:tc>
        <w:tc>
          <w:tcPr>
            <w:tcW w:w="11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30"/>
        <w:spacing w:after="0"/>
        <w:rPr>
          <w:sz w:val="20"/>
          <w:szCs w:val="20"/>
          <w:color w:val="auto"/>
        </w:rPr>
      </w:pPr>
      <w:r>
        <w:rPr>
          <w:rFonts w:ascii="Courier New" w:cs="Courier New" w:eastAsia="Courier New" w:hAnsi="Courier New"/>
          <w:sz w:val="15"/>
          <w:szCs w:val="15"/>
          <w:color w:val="auto"/>
        </w:rPr>
        <w:t>On July 24, 1997, the Company settled its debt of 1,025,601 pounds</w:t>
      </w:r>
    </w:p>
    <w:p>
      <w:pPr>
        <w:spacing w:after="0" w:line="24" w:lineRule="exact"/>
        <w:rPr>
          <w:sz w:val="20"/>
          <w:szCs w:val="20"/>
          <w:color w:val="auto"/>
        </w:rPr>
      </w:pPr>
    </w:p>
    <w:p>
      <w:pPr>
        <w:ind w:left="430" w:right="3579"/>
        <w:spacing w:after="0" w:line="272" w:lineRule="auto"/>
        <w:rPr>
          <w:sz w:val="20"/>
          <w:szCs w:val="20"/>
          <w:color w:val="auto"/>
        </w:rPr>
      </w:pPr>
      <w:r>
        <w:rPr>
          <w:rFonts w:ascii="Courier New" w:cs="Courier New" w:eastAsia="Courier New" w:hAnsi="Courier New"/>
          <w:sz w:val="15"/>
          <w:szCs w:val="15"/>
          <w:color w:val="auto"/>
        </w:rPr>
        <w:t>($1,681,986) owed to GameTek, Inc. This balance was settled through the capitalization of the debt and issuance of 1,025,601 shares of Common Stock, 1 pound par value.</w:t>
      </w:r>
    </w:p>
    <w:p>
      <w:pPr>
        <w:spacing w:after="0" w:line="237"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9"/>
          </w:cols>
          <w:pgMar w:left="230" w:top="598" w:right="1440" w:bottom="1440" w:gutter="0" w:footer="0" w:header="0"/>
        </w:sectPr>
      </w:pPr>
    </w:p>
    <w:bookmarkStart w:id="24" w:name="page25"/>
    <w:bookmarkEnd w:id="24"/>
    <w:p>
      <w:pPr>
        <w:jc w:val="center"/>
        <w:ind w:right="4440"/>
        <w:spacing w:after="0"/>
        <w:rPr>
          <w:sz w:val="20"/>
          <w:szCs w:val="20"/>
          <w:color w:val="auto"/>
        </w:rPr>
      </w:pPr>
      <w:r>
        <w:rPr>
          <w:rFonts w:ascii="Courier New" w:cs="Courier New" w:eastAsia="Courier New" w:hAnsi="Courier New"/>
          <w:sz w:val="15"/>
          <w:szCs w:val="15"/>
          <w:color w:val="auto"/>
        </w:rPr>
        <w:t>Unaudited Pro Forma Consolidated Financial Information</w:t>
      </w:r>
    </w:p>
    <w:p>
      <w:pPr>
        <w:spacing w:after="0" w:line="166" w:lineRule="exact"/>
        <w:rPr>
          <w:sz w:val="20"/>
          <w:szCs w:val="20"/>
          <w:color w:val="auto"/>
        </w:rPr>
      </w:pPr>
    </w:p>
    <w:p>
      <w:pPr>
        <w:ind w:right="4540"/>
        <w:spacing w:after="0" w:line="258" w:lineRule="auto"/>
        <w:rPr>
          <w:sz w:val="20"/>
          <w:szCs w:val="20"/>
          <w:color w:val="auto"/>
        </w:rPr>
      </w:pPr>
      <w:r>
        <w:rPr>
          <w:rFonts w:ascii="Courier New" w:cs="Courier New" w:eastAsia="Courier New" w:hAnsi="Courier New"/>
          <w:sz w:val="15"/>
          <w:szCs w:val="15"/>
          <w:color w:val="auto"/>
        </w:rPr>
        <w:t>The following unaudited pro forma consolidated statement of operations, for the year ended October 31, 1996, including the notes thereto, give effect to the acquisitions of Mission Studios Corp. ("Mission"), GameTek (UK) Limited ("GameTek"), and Inventory Management Systems Inc. ("IMSI"), by Take-Two Interactive Software, Inc. and subsidiaries (the "Company") as if the acquisitions had occurred as of November 1, 1995.</w:t>
      </w:r>
    </w:p>
    <w:p>
      <w:pPr>
        <w:spacing w:after="0" w:line="81" w:lineRule="exact"/>
        <w:rPr>
          <w:sz w:val="20"/>
          <w:szCs w:val="20"/>
          <w:color w:val="auto"/>
        </w:rPr>
      </w:pPr>
    </w:p>
    <w:p>
      <w:pPr>
        <w:ind w:right="4460"/>
        <w:spacing w:after="0" w:line="276" w:lineRule="auto"/>
        <w:rPr>
          <w:sz w:val="20"/>
          <w:szCs w:val="20"/>
          <w:color w:val="auto"/>
        </w:rPr>
      </w:pPr>
      <w:r>
        <w:rPr>
          <w:rFonts w:ascii="Courier New" w:cs="Courier New" w:eastAsia="Courier New" w:hAnsi="Courier New"/>
          <w:sz w:val="14"/>
          <w:szCs w:val="14"/>
          <w:color w:val="auto"/>
        </w:rPr>
        <w:t>Under purchase accounting, the assets and liabilities of the acquired businesses are required to be adjusted from their historical amount to their estimated fair value. Purchase accounting adjustments have been preliminarily estimated by the Company's management based upon available information and are believed by management to be reasonable. There can be no assurance, however, that the final purchase accounting adjustments that will ultimately be determined by the Company's management will not differ from these estimates.</w:t>
      </w:r>
    </w:p>
    <w:p>
      <w:pPr>
        <w:spacing w:after="0" w:line="69" w:lineRule="exact"/>
        <w:rPr>
          <w:sz w:val="20"/>
          <w:szCs w:val="20"/>
          <w:color w:val="auto"/>
        </w:rPr>
      </w:pPr>
    </w:p>
    <w:p>
      <w:pPr>
        <w:ind w:right="4540"/>
        <w:spacing w:after="0" w:line="248" w:lineRule="auto"/>
        <w:rPr>
          <w:sz w:val="20"/>
          <w:szCs w:val="20"/>
          <w:color w:val="auto"/>
        </w:rPr>
      </w:pPr>
      <w:r>
        <w:rPr>
          <w:rFonts w:ascii="Courier New" w:cs="Courier New" w:eastAsia="Courier New" w:hAnsi="Courier New"/>
          <w:sz w:val="15"/>
          <w:szCs w:val="15"/>
          <w:color w:val="auto"/>
        </w:rPr>
        <w:t>The unaudited pro forma consolidated statement of operations for the year ended October 31, 1996 has been prepared based on the audited historical consolidated statement of operations of the Company for the year ended October 31, 1996; the unaudited historical statement of operations of Mission for the period from November 1, 1995 to September 16, 1996, (the day prior to the effective acquisition date of Mission); the audited historical statement of operations of GameTek for the year ended July 31, 1996; and the audited historical statement of operations of IMSI for the year ended October 31, 1996. The historical statement of operations for Alternative Realty Technologies, Inc. is immaterial and has not been included in the unaudited pro forma consolidated statement of operations.</w:t>
      </w:r>
    </w:p>
    <w:p>
      <w:pPr>
        <w:spacing w:after="0" w:line="87" w:lineRule="exact"/>
        <w:rPr>
          <w:sz w:val="20"/>
          <w:szCs w:val="20"/>
          <w:color w:val="auto"/>
        </w:rPr>
      </w:pPr>
    </w:p>
    <w:p>
      <w:pPr>
        <w:ind w:right="4460"/>
        <w:spacing w:after="0" w:line="267" w:lineRule="auto"/>
        <w:rPr>
          <w:sz w:val="20"/>
          <w:szCs w:val="20"/>
          <w:color w:val="auto"/>
        </w:rPr>
      </w:pPr>
      <w:r>
        <w:rPr>
          <w:rFonts w:ascii="Courier New" w:cs="Courier New" w:eastAsia="Courier New" w:hAnsi="Courier New"/>
          <w:sz w:val="14"/>
          <w:szCs w:val="14"/>
          <w:color w:val="auto"/>
        </w:rPr>
        <w:t>The unaudited pro forma consolidated financial information presented for informational purposes only, is not necessarily indicative of the actual results of operations of the Company that would have been reported if the acquisitions of Mission, GameTek, and IMSI had occurred as of November 1, 1995, nor does such information purport to indicate results of future operations or financial condition. In the opinion of management, all adjustments necessary to present fairly such pro forma financial information have been made to the financial statements, and are reflected in the accompanying notes. The unaudited pro forma consolidated financial information should be read in conjunction with the Company's Registration Statement on Form SB-2 and with the financial statements included in this filing.</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20" w:type="dxa"/>
            <w:vAlign w:val="bottom"/>
            <w:gridSpan w:val="2"/>
          </w:tcPr>
          <w:p>
            <w:pPr>
              <w:jc w:val="right"/>
              <w:ind w:right="847"/>
              <w:spacing w:after="0"/>
              <w:rPr>
                <w:sz w:val="20"/>
                <w:szCs w:val="20"/>
                <w:color w:val="auto"/>
              </w:rPr>
            </w:pPr>
            <w:r>
              <w:rPr>
                <w:rFonts w:ascii="Courier New" w:cs="Courier New" w:eastAsia="Courier New" w:hAnsi="Courier New"/>
                <w:sz w:val="15"/>
                <w:szCs w:val="15"/>
                <w:color w:val="auto"/>
              </w:rPr>
              <w:t>Historical</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20" w:type="dxa"/>
            <w:vAlign w:val="bottom"/>
            <w:gridSpan w:val="3"/>
          </w:tcPr>
          <w:p>
            <w:pPr>
              <w:ind w:left="1100"/>
              <w:spacing w:after="0"/>
              <w:rPr>
                <w:sz w:val="20"/>
                <w:szCs w:val="20"/>
                <w:color w:val="auto"/>
              </w:rPr>
            </w:pPr>
            <w:r>
              <w:rPr>
                <w:rFonts w:ascii="Courier New" w:cs="Courier New" w:eastAsia="Courier New" w:hAnsi="Courier New"/>
                <w:sz w:val="15"/>
                <w:szCs w:val="15"/>
                <w:color w:val="auto"/>
                <w:w w:val="98"/>
              </w:rPr>
              <w:t>Pro Forma</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60" w:type="dxa"/>
            <w:vAlign w:val="bottom"/>
          </w:tcPr>
          <w:p>
            <w:pPr>
              <w:spacing w:after="0"/>
              <w:rPr>
                <w:sz w:val="14"/>
                <w:szCs w:val="14"/>
                <w:color w:val="auto"/>
              </w:rPr>
            </w:pPr>
          </w:p>
        </w:tc>
        <w:tc>
          <w:tcPr>
            <w:tcW w:w="1220" w:type="dxa"/>
            <w:vAlign w:val="bottom"/>
            <w:gridSpan w:val="2"/>
            <w:vMerge w:val="restart"/>
          </w:tcPr>
          <w:p>
            <w:pPr>
              <w:ind w:left="140"/>
              <w:spacing w:after="0"/>
              <w:rPr>
                <w:sz w:val="20"/>
                <w:szCs w:val="20"/>
                <w:color w:val="auto"/>
              </w:rPr>
            </w:pPr>
            <w:r>
              <w:rPr>
                <w:rFonts w:ascii="Courier New" w:cs="Courier New" w:eastAsia="Courier New" w:hAnsi="Courier New"/>
                <w:sz w:val="6"/>
                <w:szCs w:val="6"/>
                <w:color w:val="auto"/>
                <w:w w:val="86"/>
                <w:vertAlign w:val="subscript"/>
              </w:rPr>
              <w:t>Company</w:t>
            </w:r>
            <w:r>
              <w:rPr>
                <w:rFonts w:ascii="Courier New" w:cs="Courier New" w:eastAsia="Courier New" w:hAnsi="Courier New"/>
                <w:sz w:val="3"/>
                <w:szCs w:val="3"/>
                <w:color w:val="auto"/>
                <w:w w:val="86"/>
              </w:rPr>
              <w:t>-------------------------------------------------------</w:t>
            </w:r>
            <w:r>
              <w:rPr>
                <w:rFonts w:ascii="Courier New" w:cs="Courier New" w:eastAsia="Courier New" w:hAnsi="Courier New"/>
                <w:sz w:val="6"/>
                <w:szCs w:val="6"/>
                <w:color w:val="auto"/>
                <w:w w:val="86"/>
                <w:vertAlign w:val="subscript"/>
              </w:rPr>
              <w:t>(1)</w:t>
            </w:r>
          </w:p>
        </w:tc>
        <w:tc>
          <w:tcPr>
            <w:tcW w:w="1320" w:type="dxa"/>
            <w:vAlign w:val="bottom"/>
            <w:gridSpan w:val="2"/>
            <w:vMerge w:val="restart"/>
          </w:tcPr>
          <w:p>
            <w:pPr>
              <w:ind w:left="140"/>
              <w:spacing w:after="0"/>
              <w:rPr>
                <w:sz w:val="20"/>
                <w:szCs w:val="20"/>
                <w:color w:val="auto"/>
              </w:rPr>
            </w:pPr>
            <w:r>
              <w:rPr>
                <w:rFonts w:ascii="Courier New" w:cs="Courier New" w:eastAsia="Courier New" w:hAnsi="Courier New"/>
                <w:sz w:val="15"/>
                <w:szCs w:val="15"/>
                <w:color w:val="auto"/>
              </w:rPr>
              <w:t>Mission (2)</w:t>
            </w:r>
          </w:p>
        </w:tc>
        <w:tc>
          <w:tcPr>
            <w:tcW w:w="13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GameTek (3)</w:t>
            </w:r>
          </w:p>
        </w:tc>
        <w:tc>
          <w:tcPr>
            <w:tcW w:w="260" w:type="dxa"/>
            <w:vAlign w:val="bottom"/>
          </w:tcPr>
          <w:p>
            <w:pPr>
              <w:spacing w:after="0"/>
              <w:rPr>
                <w:sz w:val="14"/>
                <w:szCs w:val="14"/>
                <w:color w:val="auto"/>
              </w:rPr>
            </w:pPr>
          </w:p>
        </w:tc>
        <w:tc>
          <w:tcPr>
            <w:tcW w:w="9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w w:val="99"/>
              </w:rPr>
              <w:t>IMSI (4)</w:t>
            </w:r>
          </w:p>
        </w:tc>
        <w:tc>
          <w:tcPr>
            <w:tcW w:w="292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4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Adjustments</w:t>
            </w:r>
          </w:p>
        </w:tc>
        <w:tc>
          <w:tcPr>
            <w:tcW w:w="440" w:type="dxa"/>
            <w:vAlign w:val="bottom"/>
          </w:tcPr>
          <w:p>
            <w:pPr>
              <w:spacing w:after="0"/>
              <w:rPr>
                <w:sz w:val="14"/>
                <w:szCs w:val="14"/>
                <w:color w:val="auto"/>
              </w:rPr>
            </w:pPr>
          </w:p>
        </w:tc>
        <w:tc>
          <w:tcPr>
            <w:tcW w:w="12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As Adjusted</w:t>
            </w:r>
          </w:p>
        </w:tc>
        <w:tc>
          <w:tcPr>
            <w:tcW w:w="0" w:type="dxa"/>
            <w:vAlign w:val="bottom"/>
          </w:tcPr>
          <w:p>
            <w:pPr>
              <w:spacing w:after="0"/>
              <w:rPr>
                <w:sz w:val="1"/>
                <w:szCs w:val="1"/>
                <w:color w:val="auto"/>
              </w:rPr>
            </w:pPr>
          </w:p>
        </w:tc>
      </w:tr>
      <w:tr>
        <w:trPr>
          <w:trHeight w:val="245"/>
        </w:trPr>
        <w:tc>
          <w:tcPr>
            <w:tcW w:w="3460" w:type="dxa"/>
            <w:vAlign w:val="bottom"/>
          </w:tcPr>
          <w:p>
            <w:pPr>
              <w:spacing w:after="0"/>
              <w:rPr>
                <w:sz w:val="21"/>
                <w:szCs w:val="21"/>
                <w:color w:val="auto"/>
              </w:rPr>
            </w:pPr>
          </w:p>
        </w:tc>
        <w:tc>
          <w:tcPr>
            <w:tcW w:w="12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1"/>
                <w:szCs w:val="21"/>
                <w:color w:val="auto"/>
              </w:rPr>
            </w:pP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11,154,709</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7,148</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$ 8,851,681</w:t>
            </w:r>
          </w:p>
        </w:tc>
        <w:tc>
          <w:tcPr>
            <w:tcW w:w="12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$ 1,374,419</w:t>
            </w:r>
          </w:p>
        </w:tc>
        <w:tc>
          <w:tcPr>
            <w:tcW w:w="17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(862,567)(5)</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$ 20,525,390</w:t>
            </w:r>
          </w:p>
        </w:tc>
        <w:tc>
          <w:tcPr>
            <w:tcW w:w="0" w:type="dxa"/>
            <w:vAlign w:val="bottom"/>
          </w:tcPr>
          <w:p>
            <w:pPr>
              <w:spacing w:after="0"/>
              <w:rPr>
                <w:sz w:val="1"/>
                <w:szCs w:val="1"/>
                <w:color w:val="auto"/>
              </w:rPr>
            </w:pPr>
          </w:p>
        </w:tc>
      </w:tr>
      <w:tr>
        <w:trPr>
          <w:trHeight w:val="427"/>
        </w:trPr>
        <w:tc>
          <w:tcPr>
            <w:tcW w:w="346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220" w:type="dxa"/>
            <w:vAlign w:val="bottom"/>
          </w:tcPr>
          <w:p>
            <w:pPr>
              <w:spacing w:after="0"/>
              <w:rPr>
                <w:sz w:val="24"/>
                <w:szCs w:val="24"/>
                <w:color w:val="auto"/>
              </w:rPr>
            </w:pP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5,153,414</w:t>
            </w:r>
          </w:p>
        </w:tc>
        <w:tc>
          <w:tcPr>
            <w:tcW w:w="320" w:type="dxa"/>
            <w:vAlign w:val="bottom"/>
          </w:tcPr>
          <w:p>
            <w:pPr>
              <w:spacing w:after="0"/>
              <w:rPr>
                <w:sz w:val="24"/>
                <w:szCs w:val="2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5,869</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6,008,628</w:t>
            </w:r>
          </w:p>
        </w:tc>
        <w:tc>
          <w:tcPr>
            <w:tcW w:w="260" w:type="dxa"/>
            <w:vAlign w:val="bottom"/>
          </w:tcPr>
          <w:p>
            <w:pPr>
              <w:spacing w:after="0"/>
              <w:rPr>
                <w:sz w:val="24"/>
                <w:szCs w:val="24"/>
                <w:color w:val="auto"/>
              </w:rPr>
            </w:pP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8"/>
              </w:rPr>
              <w:t>1,083,289</w:t>
            </w:r>
          </w:p>
        </w:tc>
        <w:tc>
          <w:tcPr>
            <w:tcW w:w="17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(919,637)(5)</w:t>
            </w:r>
          </w:p>
        </w:tc>
        <w:tc>
          <w:tcPr>
            <w:tcW w:w="220" w:type="dxa"/>
            <w:vAlign w:val="bottom"/>
          </w:tcPr>
          <w:p>
            <w:pPr>
              <w:spacing w:after="0"/>
              <w:rPr>
                <w:sz w:val="24"/>
                <w:szCs w:val="2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11,331,563</w:t>
            </w:r>
          </w:p>
        </w:tc>
        <w:tc>
          <w:tcPr>
            <w:tcW w:w="0" w:type="dxa"/>
            <w:vAlign w:val="bottom"/>
          </w:tcPr>
          <w:p>
            <w:pPr>
              <w:spacing w:after="0"/>
              <w:rPr>
                <w:sz w:val="1"/>
                <w:szCs w:val="1"/>
                <w:color w:val="auto"/>
              </w:rPr>
            </w:pPr>
          </w:p>
        </w:tc>
      </w:tr>
      <w:tr>
        <w:trPr>
          <w:trHeight w:val="245"/>
        </w:trPr>
        <w:tc>
          <w:tcPr>
            <w:tcW w:w="3460" w:type="dxa"/>
            <w:vAlign w:val="bottom"/>
          </w:tcPr>
          <w:p>
            <w:pPr>
              <w:spacing w:after="0"/>
              <w:rPr>
                <w:sz w:val="21"/>
                <w:szCs w:val="21"/>
                <w:color w:val="auto"/>
              </w:rPr>
            </w:pPr>
          </w:p>
        </w:tc>
        <w:tc>
          <w:tcPr>
            <w:tcW w:w="12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1"/>
                <w:szCs w:val="21"/>
                <w:color w:val="auto"/>
              </w:rPr>
            </w:pP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3460" w:type="dxa"/>
            <w:vAlign w:val="bottom"/>
          </w:tcPr>
          <w:p>
            <w:pPr>
              <w:ind w:left="700"/>
              <w:spacing w:after="0"/>
              <w:rPr>
                <w:sz w:val="20"/>
                <w:szCs w:val="20"/>
                <w:color w:val="auto"/>
              </w:rPr>
            </w:pPr>
            <w:r>
              <w:rPr>
                <w:rFonts w:ascii="Courier New" w:cs="Courier New" w:eastAsia="Courier New" w:hAnsi="Courier New"/>
                <w:sz w:val="15"/>
                <w:szCs w:val="15"/>
                <w:color w:val="auto"/>
              </w:rPr>
              <w:t>Gross profit</w:t>
            </w:r>
          </w:p>
        </w:tc>
        <w:tc>
          <w:tcPr>
            <w:tcW w:w="220" w:type="dxa"/>
            <w:vAlign w:val="bottom"/>
          </w:tcPr>
          <w:p>
            <w:pPr>
              <w:spacing w:after="0"/>
              <w:rPr>
                <w:sz w:val="24"/>
                <w:szCs w:val="24"/>
                <w:color w:val="auto"/>
              </w:rPr>
            </w:pP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6,001,295</w:t>
            </w:r>
          </w:p>
        </w:tc>
        <w:tc>
          <w:tcPr>
            <w:tcW w:w="320" w:type="dxa"/>
            <w:vAlign w:val="bottom"/>
          </w:tcPr>
          <w:p>
            <w:pPr>
              <w:spacing w:after="0"/>
              <w:rPr>
                <w:sz w:val="24"/>
                <w:szCs w:val="2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1,279</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2,843,053</w:t>
            </w:r>
          </w:p>
        </w:tc>
        <w:tc>
          <w:tcPr>
            <w:tcW w:w="260" w:type="dxa"/>
            <w:vAlign w:val="bottom"/>
          </w:tcPr>
          <w:p>
            <w:pPr>
              <w:spacing w:after="0"/>
              <w:rPr>
                <w:sz w:val="24"/>
                <w:szCs w:val="24"/>
                <w:color w:val="auto"/>
              </w:rPr>
            </w:pP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291,130</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57,070</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9,193,827</w:t>
            </w:r>
          </w:p>
        </w:tc>
        <w:tc>
          <w:tcPr>
            <w:tcW w:w="0" w:type="dxa"/>
            <w:vAlign w:val="bottom"/>
          </w:tcPr>
          <w:p>
            <w:pPr>
              <w:spacing w:after="0"/>
              <w:rPr>
                <w:sz w:val="1"/>
                <w:szCs w:val="1"/>
                <w:color w:val="auto"/>
              </w:rPr>
            </w:pPr>
          </w:p>
        </w:tc>
      </w:tr>
      <w:tr>
        <w:trPr>
          <w:trHeight w:val="259"/>
        </w:trPr>
        <w:tc>
          <w:tcPr>
            <w:tcW w:w="34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20" w:type="dxa"/>
            <w:vAlign w:val="bottom"/>
          </w:tcPr>
          <w:p>
            <w:pPr>
              <w:spacing w:after="0"/>
              <w:rPr>
                <w:sz w:val="22"/>
                <w:szCs w:val="22"/>
                <w:color w:val="auto"/>
              </w:rPr>
            </w:pPr>
          </w:p>
        </w:tc>
        <w:tc>
          <w:tcPr>
            <w:tcW w:w="10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718,089</w:t>
            </w:r>
          </w:p>
        </w:tc>
        <w:tc>
          <w:tcPr>
            <w:tcW w:w="320" w:type="dxa"/>
            <w:vAlign w:val="bottom"/>
          </w:tcPr>
          <w:p>
            <w:pPr>
              <w:spacing w:after="0"/>
              <w:rPr>
                <w:sz w:val="22"/>
                <w:szCs w:val="22"/>
                <w:color w:val="auto"/>
              </w:rPr>
            </w:pPr>
          </w:p>
        </w:tc>
        <w:tc>
          <w:tcPr>
            <w:tcW w:w="10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92,852</w:t>
            </w:r>
          </w:p>
        </w:tc>
        <w:tc>
          <w:tcPr>
            <w:tcW w:w="13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2"/>
                <w:szCs w:val="22"/>
                <w:color w:val="auto"/>
              </w:rPr>
            </w:pPr>
          </w:p>
        </w:tc>
        <w:tc>
          <w:tcPr>
            <w:tcW w:w="96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810,941</w:t>
            </w:r>
          </w:p>
        </w:tc>
        <w:tc>
          <w:tcPr>
            <w:tcW w:w="0" w:type="dxa"/>
            <w:vAlign w:val="bottom"/>
          </w:tcPr>
          <w:p>
            <w:pPr>
              <w:spacing w:after="0"/>
              <w:rPr>
                <w:sz w:val="1"/>
                <w:szCs w:val="1"/>
                <w:color w:val="auto"/>
              </w:rPr>
            </w:pPr>
          </w:p>
        </w:tc>
      </w:tr>
      <w:tr>
        <w:trPr>
          <w:trHeight w:val="168"/>
        </w:trPr>
        <w:tc>
          <w:tcPr>
            <w:tcW w:w="34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Research and development</w:t>
            </w:r>
          </w:p>
        </w:tc>
        <w:tc>
          <w:tcPr>
            <w:tcW w:w="2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700" w:type="dxa"/>
            <w:vAlign w:val="bottom"/>
            <w:gridSpan w:val="2"/>
            <w:vMerge w:val="restart"/>
          </w:tcPr>
          <w:p>
            <w:pPr>
              <w:jc w:val="right"/>
              <w:ind w:right="107"/>
              <w:spacing w:after="0"/>
              <w:rPr>
                <w:sz w:val="20"/>
                <w:szCs w:val="20"/>
                <w:color w:val="auto"/>
              </w:rPr>
            </w:pPr>
            <w:r>
              <w:rPr>
                <w:rFonts w:ascii="Courier New" w:cs="Courier New" w:eastAsia="Courier New" w:hAnsi="Courier New"/>
                <w:sz w:val="15"/>
                <w:szCs w:val="15"/>
                <w:color w:val="auto"/>
              </w:rPr>
              <w:t>(9,417)(5)</w:t>
            </w:r>
          </w:p>
        </w:tc>
        <w:tc>
          <w:tcPr>
            <w:tcW w:w="2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Selling and marketing</w:t>
            </w:r>
          </w:p>
        </w:tc>
        <w:tc>
          <w:tcPr>
            <w:tcW w:w="2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2,664,923</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102,972</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1,879,967</w:t>
            </w:r>
          </w:p>
        </w:tc>
        <w:tc>
          <w:tcPr>
            <w:tcW w:w="2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53,155</w:t>
            </w:r>
          </w:p>
        </w:tc>
        <w:tc>
          <w:tcPr>
            <w:tcW w:w="17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4,691,600</w:t>
            </w:r>
          </w:p>
        </w:tc>
        <w:tc>
          <w:tcPr>
            <w:tcW w:w="0" w:type="dxa"/>
            <w:vAlign w:val="bottom"/>
          </w:tcPr>
          <w:p>
            <w:pPr>
              <w:spacing w:after="0"/>
              <w:rPr>
                <w:sz w:val="1"/>
                <w:szCs w:val="1"/>
                <w:color w:val="auto"/>
              </w:rPr>
            </w:pPr>
          </w:p>
        </w:tc>
      </w:tr>
      <w:tr>
        <w:trPr>
          <w:trHeight w:val="168"/>
        </w:trPr>
        <w:tc>
          <w:tcPr>
            <w:tcW w:w="34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2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1,613,817</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85,565</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1,762,313</w:t>
            </w:r>
          </w:p>
        </w:tc>
        <w:tc>
          <w:tcPr>
            <w:tcW w:w="2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162,134</w:t>
            </w:r>
          </w:p>
        </w:tc>
        <w:tc>
          <w:tcPr>
            <w:tcW w:w="12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391,969</w:t>
            </w:r>
          </w:p>
        </w:tc>
        <w:tc>
          <w:tcPr>
            <w:tcW w:w="440" w:type="dxa"/>
            <w:vAlign w:val="bottom"/>
            <w:vMerge w:val="restart"/>
          </w:tcPr>
          <w:p>
            <w:pPr>
              <w:spacing w:after="0"/>
              <w:rPr>
                <w:sz w:val="20"/>
                <w:szCs w:val="20"/>
                <w:color w:val="auto"/>
              </w:rPr>
            </w:pPr>
            <w:r>
              <w:rPr>
                <w:rFonts w:ascii="Courier New" w:cs="Courier New" w:eastAsia="Courier New" w:hAnsi="Courier New"/>
                <w:sz w:val="15"/>
                <w:szCs w:val="15"/>
                <w:color w:val="auto"/>
              </w:rPr>
              <w:t>(6)</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3,623,829</w:t>
            </w:r>
          </w:p>
        </w:tc>
        <w:tc>
          <w:tcPr>
            <w:tcW w:w="0" w:type="dxa"/>
            <w:vAlign w:val="bottom"/>
          </w:tcPr>
          <w:p>
            <w:pPr>
              <w:spacing w:after="0"/>
              <w:rPr>
                <w:sz w:val="1"/>
                <w:szCs w:val="1"/>
                <w:color w:val="auto"/>
              </w:rPr>
            </w:pPr>
          </w:p>
        </w:tc>
      </w:tr>
      <w:tr>
        <w:trPr>
          <w:trHeight w:val="168"/>
        </w:trPr>
        <w:tc>
          <w:tcPr>
            <w:tcW w:w="34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2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252,471</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15,107</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118,987</w:t>
            </w:r>
          </w:p>
        </w:tc>
        <w:tc>
          <w:tcPr>
            <w:tcW w:w="2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17,052</w:t>
            </w:r>
          </w:p>
        </w:tc>
        <w:tc>
          <w:tcPr>
            <w:tcW w:w="12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1,172,951</w:t>
            </w:r>
          </w:p>
        </w:tc>
        <w:tc>
          <w:tcPr>
            <w:tcW w:w="0" w:type="dxa"/>
            <w:vAlign w:val="bottom"/>
          </w:tcPr>
          <w:p>
            <w:pPr>
              <w:spacing w:after="0"/>
              <w:rPr>
                <w:sz w:val="1"/>
                <w:szCs w:val="1"/>
                <w:color w:val="auto"/>
              </w:rPr>
            </w:pPr>
          </w:p>
        </w:tc>
      </w:tr>
      <w:tr>
        <w:trPr>
          <w:trHeight w:val="168"/>
        </w:trPr>
        <w:tc>
          <w:tcPr>
            <w:tcW w:w="3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gridSpan w:val="2"/>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377,365</w:t>
            </w:r>
          </w:p>
        </w:tc>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(7)</w:t>
            </w:r>
          </w:p>
        </w:tc>
        <w:tc>
          <w:tcPr>
            <w:tcW w:w="1220" w:type="dxa"/>
            <w:vAlign w:val="bottom"/>
            <w:gridSpan w:val="2"/>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460" w:type="dxa"/>
            <w:vAlign w:val="bottom"/>
            <w:vMerge w:val="restart"/>
          </w:tcPr>
          <w:p>
            <w:pPr>
              <w:ind w:left="700"/>
              <w:spacing w:after="0"/>
              <w:rPr>
                <w:sz w:val="20"/>
                <w:szCs w:val="20"/>
                <w:color w:val="auto"/>
              </w:rPr>
            </w:pPr>
            <w:r>
              <w:rPr>
                <w:rFonts w:ascii="Courier New" w:cs="Courier New" w:eastAsia="Courier New" w:hAnsi="Courier New"/>
                <w:sz w:val="15"/>
                <w:szCs w:val="15"/>
                <w:color w:val="auto"/>
              </w:rPr>
              <w:t>Total operating expenses</w:t>
            </w:r>
          </w:p>
        </w:tc>
        <w:tc>
          <w:tcPr>
            <w:tcW w:w="220" w:type="dxa"/>
            <w:vAlign w:val="bottom"/>
          </w:tcPr>
          <w:p>
            <w:pPr>
              <w:ind w:left="140"/>
              <w:spacing w:after="0"/>
              <w:rPr>
                <w:sz w:val="20"/>
                <w:szCs w:val="20"/>
                <w:color w:val="auto"/>
              </w:rPr>
            </w:pPr>
            <w:r>
              <w:rPr>
                <w:rFonts w:ascii="Courier New" w:cs="Courier New" w:eastAsia="Courier New" w:hAnsi="Courier New"/>
                <w:sz w:val="1"/>
                <w:szCs w:val="1"/>
                <w:color w:val="auto"/>
                <w:w w:val="90"/>
              </w:rPr>
              <w:t>-----------</w:t>
            </w:r>
          </w:p>
        </w:tc>
        <w:tc>
          <w:tcPr>
            <w:tcW w:w="10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5,249,300</w:t>
            </w:r>
          </w:p>
        </w:tc>
        <w:tc>
          <w:tcPr>
            <w:tcW w:w="1320" w:type="dxa"/>
            <w:vAlign w:val="bottom"/>
            <w:gridSpan w:val="2"/>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296,496</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3,761,267</w:t>
            </w:r>
          </w:p>
        </w:tc>
        <w:tc>
          <w:tcPr>
            <w:tcW w:w="2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232,341</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759,917</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10,299,321</w:t>
            </w:r>
          </w:p>
        </w:tc>
        <w:tc>
          <w:tcPr>
            <w:tcW w:w="0" w:type="dxa"/>
            <w:vAlign w:val="bottom"/>
          </w:tcPr>
          <w:p>
            <w:pPr>
              <w:spacing w:after="0"/>
              <w:rPr>
                <w:sz w:val="1"/>
                <w:szCs w:val="1"/>
                <w:color w:val="auto"/>
              </w:rPr>
            </w:pPr>
          </w:p>
        </w:tc>
      </w:tr>
      <w:tr>
        <w:trPr>
          <w:trHeight w:val="245"/>
        </w:trPr>
        <w:tc>
          <w:tcPr>
            <w:tcW w:w="3460" w:type="dxa"/>
            <w:vAlign w:val="bottom"/>
          </w:tcPr>
          <w:p>
            <w:pPr>
              <w:spacing w:after="0"/>
              <w:rPr>
                <w:sz w:val="21"/>
                <w:szCs w:val="21"/>
                <w:color w:val="auto"/>
              </w:rPr>
            </w:pPr>
          </w:p>
        </w:tc>
        <w:tc>
          <w:tcPr>
            <w:tcW w:w="12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1"/>
                <w:szCs w:val="21"/>
                <w:color w:val="auto"/>
              </w:rPr>
            </w:pP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460" w:type="dxa"/>
            <w:vAlign w:val="bottom"/>
          </w:tcPr>
          <w:p>
            <w:pPr>
              <w:ind w:left="700"/>
              <w:spacing w:after="0"/>
              <w:rPr>
                <w:sz w:val="20"/>
                <w:szCs w:val="20"/>
                <w:color w:val="auto"/>
              </w:rPr>
            </w:pPr>
            <w:r>
              <w:rPr>
                <w:rFonts w:ascii="Courier New" w:cs="Courier New" w:eastAsia="Courier New" w:hAnsi="Courier New"/>
                <w:sz w:val="15"/>
                <w:szCs w:val="15"/>
                <w:color w:val="auto"/>
              </w:rPr>
              <w:t>Income (loss) from</w:t>
            </w:r>
          </w:p>
        </w:tc>
        <w:tc>
          <w:tcPr>
            <w:tcW w:w="220" w:type="dxa"/>
            <w:vAlign w:val="bottom"/>
          </w:tcPr>
          <w:p>
            <w:pPr>
              <w:spacing w:after="0"/>
              <w:rPr>
                <w:sz w:val="22"/>
                <w:szCs w:val="22"/>
                <w:color w:val="auto"/>
              </w:rPr>
            </w:pP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751,995</w:t>
            </w:r>
          </w:p>
        </w:tc>
        <w:tc>
          <w:tcPr>
            <w:tcW w:w="320" w:type="dxa"/>
            <w:vAlign w:val="bottom"/>
          </w:tcPr>
          <w:p>
            <w:pPr>
              <w:spacing w:after="0"/>
              <w:rPr>
                <w:sz w:val="22"/>
                <w:szCs w:val="22"/>
                <w:color w:val="auto"/>
              </w:rPr>
            </w:pPr>
          </w:p>
        </w:tc>
        <w:tc>
          <w:tcPr>
            <w:tcW w:w="10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(295,217)</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(918,214)</w:t>
            </w:r>
          </w:p>
        </w:tc>
        <w:tc>
          <w:tcPr>
            <w:tcW w:w="260" w:type="dxa"/>
            <w:vAlign w:val="bottom"/>
          </w:tcPr>
          <w:p>
            <w:pPr>
              <w:spacing w:after="0"/>
              <w:rPr>
                <w:sz w:val="22"/>
                <w:szCs w:val="22"/>
                <w:color w:val="auto"/>
              </w:rPr>
            </w:pP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58,789</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(702,847)</w:t>
            </w: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(1,105,494)</w:t>
            </w:r>
          </w:p>
        </w:tc>
        <w:tc>
          <w:tcPr>
            <w:tcW w:w="0" w:type="dxa"/>
            <w:vAlign w:val="bottom"/>
          </w:tcPr>
          <w:p>
            <w:pPr>
              <w:spacing w:after="0"/>
              <w:rPr>
                <w:sz w:val="1"/>
                <w:szCs w:val="1"/>
                <w:color w:val="auto"/>
              </w:rPr>
            </w:pPr>
          </w:p>
        </w:tc>
      </w:tr>
      <w:tr>
        <w:trPr>
          <w:trHeight w:val="245"/>
        </w:trPr>
        <w:tc>
          <w:tcPr>
            <w:tcW w:w="3460" w:type="dxa"/>
            <w:vAlign w:val="bottom"/>
          </w:tcPr>
          <w:p>
            <w:pPr>
              <w:ind w:left="700"/>
              <w:spacing w:after="0"/>
              <w:rPr>
                <w:sz w:val="20"/>
                <w:szCs w:val="20"/>
                <w:color w:val="auto"/>
              </w:rPr>
            </w:pPr>
            <w:r>
              <w:rPr>
                <w:rFonts w:ascii="Courier New" w:cs="Courier New" w:eastAsia="Courier New" w:hAnsi="Courier New"/>
                <w:sz w:val="15"/>
                <w:szCs w:val="15"/>
                <w:color w:val="auto"/>
              </w:rPr>
              <w:t>operations</w:t>
            </w: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7"/>
        </w:trPr>
        <w:tc>
          <w:tcPr>
            <w:tcW w:w="3460" w:type="dxa"/>
            <w:vAlign w:val="bottom"/>
          </w:tcPr>
          <w:p>
            <w:pPr>
              <w:spacing w:after="0"/>
              <w:rPr>
                <w:sz w:val="20"/>
                <w:szCs w:val="20"/>
                <w:color w:val="auto"/>
              </w:rPr>
            </w:pPr>
            <w:r>
              <w:rPr>
                <w:rFonts w:ascii="Courier New" w:cs="Courier New" w:eastAsia="Courier New" w:hAnsi="Courier New"/>
                <w:sz w:val="15"/>
                <w:szCs w:val="15"/>
                <w:color w:val="auto"/>
              </w:rPr>
              <w:t>Interest and other expenses</w:t>
            </w:r>
          </w:p>
        </w:tc>
        <w:tc>
          <w:tcPr>
            <w:tcW w:w="220" w:type="dxa"/>
            <w:vAlign w:val="bottom"/>
          </w:tcPr>
          <w:p>
            <w:pPr>
              <w:spacing w:after="0"/>
              <w:rPr>
                <w:sz w:val="24"/>
                <w:szCs w:val="24"/>
                <w:color w:val="auto"/>
              </w:rPr>
            </w:pP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203,545</w:t>
            </w:r>
          </w:p>
        </w:tc>
        <w:tc>
          <w:tcPr>
            <w:tcW w:w="320" w:type="dxa"/>
            <w:vAlign w:val="bottom"/>
          </w:tcPr>
          <w:p>
            <w:pPr>
              <w:spacing w:after="0"/>
              <w:rPr>
                <w:sz w:val="24"/>
                <w:szCs w:val="2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11,861</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197,665</w:t>
            </w:r>
          </w:p>
        </w:tc>
        <w:tc>
          <w:tcPr>
            <w:tcW w:w="260" w:type="dxa"/>
            <w:vAlign w:val="bottom"/>
          </w:tcPr>
          <w:p>
            <w:pPr>
              <w:spacing w:after="0"/>
              <w:rPr>
                <w:sz w:val="24"/>
                <w:szCs w:val="24"/>
                <w:color w:val="auto"/>
              </w:rPr>
            </w:pP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28,550</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27,152</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(8)</w:t>
            </w:r>
          </w:p>
        </w:tc>
        <w:tc>
          <w:tcPr>
            <w:tcW w:w="220" w:type="dxa"/>
            <w:vAlign w:val="bottom"/>
          </w:tcPr>
          <w:p>
            <w:pPr>
              <w:spacing w:after="0"/>
              <w:rPr>
                <w:sz w:val="24"/>
                <w:szCs w:val="2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1,285,524</w:t>
            </w:r>
          </w:p>
        </w:tc>
        <w:tc>
          <w:tcPr>
            <w:tcW w:w="0" w:type="dxa"/>
            <w:vAlign w:val="bottom"/>
          </w:tcPr>
          <w:p>
            <w:pPr>
              <w:spacing w:after="0"/>
              <w:rPr>
                <w:sz w:val="1"/>
                <w:szCs w:val="1"/>
                <w:color w:val="auto"/>
              </w:rPr>
            </w:pPr>
          </w:p>
        </w:tc>
      </w:tr>
      <w:tr>
        <w:trPr>
          <w:trHeight w:val="168"/>
        </w:trPr>
        <w:tc>
          <w:tcPr>
            <w:tcW w:w="3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207,203</w:t>
            </w:r>
          </w:p>
        </w:tc>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(9)</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569,548</w:t>
            </w:r>
          </w:p>
        </w:tc>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(10)</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gridSpan w:val="2"/>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40,000</w:t>
            </w:r>
          </w:p>
        </w:tc>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(11)</w:t>
            </w:r>
          </w:p>
        </w:tc>
        <w:tc>
          <w:tcPr>
            <w:tcW w:w="1220" w:type="dxa"/>
            <w:vAlign w:val="bottom"/>
            <w:gridSpan w:val="2"/>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3460" w:type="dxa"/>
            <w:vAlign w:val="bottom"/>
            <w:vMerge w:val="restart"/>
          </w:tcPr>
          <w:p>
            <w:pPr>
              <w:ind w:left="700"/>
              <w:spacing w:after="0"/>
              <w:rPr>
                <w:sz w:val="20"/>
                <w:szCs w:val="20"/>
                <w:color w:val="auto"/>
              </w:rPr>
            </w:pPr>
            <w:r>
              <w:rPr>
                <w:rFonts w:ascii="Courier New" w:cs="Courier New" w:eastAsia="Courier New" w:hAnsi="Courier New"/>
                <w:sz w:val="15"/>
                <w:szCs w:val="15"/>
                <w:color w:val="auto"/>
              </w:rPr>
              <w:t>Income (loss) before income</w:t>
            </w:r>
          </w:p>
        </w:tc>
        <w:tc>
          <w:tcPr>
            <w:tcW w:w="12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vMerge w:val="continue"/>
          </w:tcPr>
          <w:p>
            <w:pPr>
              <w:spacing w:after="0"/>
              <w:rPr>
                <w:sz w:val="21"/>
                <w:szCs w:val="21"/>
                <w:color w:val="auto"/>
              </w:rPr>
            </w:pPr>
          </w:p>
        </w:tc>
        <w:tc>
          <w:tcPr>
            <w:tcW w:w="1320" w:type="dxa"/>
            <w:vAlign w:val="bottom"/>
            <w:vMerge w:val="continue"/>
          </w:tcPr>
          <w:p>
            <w:pPr>
              <w:spacing w:after="0"/>
              <w:rPr>
                <w:sz w:val="21"/>
                <w:szCs w:val="21"/>
                <w:color w:val="auto"/>
              </w:rPr>
            </w:pPr>
          </w:p>
        </w:tc>
        <w:tc>
          <w:tcPr>
            <w:tcW w:w="1220" w:type="dxa"/>
            <w:vAlign w:val="bottom"/>
            <w:gridSpan w:val="2"/>
            <w:vMerge w:val="continue"/>
          </w:tcPr>
          <w:p>
            <w:pPr>
              <w:spacing w:after="0"/>
              <w:rPr>
                <w:sz w:val="21"/>
                <w:szCs w:val="21"/>
                <w:color w:val="auto"/>
              </w:rPr>
            </w:pP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1"/>
                <w:szCs w:val="21"/>
                <w:color w:val="auto"/>
              </w:rPr>
            </w:pPr>
          </w:p>
        </w:tc>
        <w:tc>
          <w:tcPr>
            <w:tcW w:w="12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91"/>
        </w:trPr>
        <w:tc>
          <w:tcPr>
            <w:tcW w:w="34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548,450</w:t>
            </w:r>
          </w:p>
        </w:tc>
        <w:tc>
          <w:tcPr>
            <w:tcW w:w="320" w:type="dxa"/>
            <w:vAlign w:val="bottom"/>
          </w:tcPr>
          <w:p>
            <w:pPr>
              <w:spacing w:after="0"/>
              <w:rPr>
                <w:sz w:val="7"/>
                <w:szCs w:val="7"/>
                <w:color w:val="auto"/>
              </w:rPr>
            </w:pPr>
          </w:p>
        </w:tc>
        <w:tc>
          <w:tcPr>
            <w:tcW w:w="10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(307,078)</w:t>
            </w:r>
          </w:p>
        </w:tc>
        <w:tc>
          <w:tcPr>
            <w:tcW w:w="13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(1,115,879)</w:t>
            </w:r>
          </w:p>
        </w:tc>
        <w:tc>
          <w:tcPr>
            <w:tcW w:w="260" w:type="dxa"/>
            <w:vAlign w:val="bottom"/>
          </w:tcPr>
          <w:p>
            <w:pPr>
              <w:spacing w:after="0"/>
              <w:rPr>
                <w:sz w:val="7"/>
                <w:szCs w:val="7"/>
                <w:color w:val="auto"/>
              </w:rPr>
            </w:pPr>
          </w:p>
        </w:tc>
        <w:tc>
          <w:tcPr>
            <w:tcW w:w="9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30,239</w:t>
            </w:r>
          </w:p>
        </w:tc>
        <w:tc>
          <w:tcPr>
            <w:tcW w:w="1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(1,546,750)</w:t>
            </w: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8"/>
              </w:rPr>
              <w:t>(2,391,018)</w:t>
            </w:r>
          </w:p>
        </w:tc>
        <w:tc>
          <w:tcPr>
            <w:tcW w:w="0" w:type="dxa"/>
            <w:vAlign w:val="bottom"/>
          </w:tcPr>
          <w:p>
            <w:pPr>
              <w:spacing w:after="0"/>
              <w:rPr>
                <w:sz w:val="1"/>
                <w:szCs w:val="1"/>
                <w:color w:val="auto"/>
              </w:rPr>
            </w:pPr>
          </w:p>
        </w:tc>
      </w:tr>
      <w:tr>
        <w:trPr>
          <w:trHeight w:val="245"/>
        </w:trPr>
        <w:tc>
          <w:tcPr>
            <w:tcW w:w="3460" w:type="dxa"/>
            <w:vAlign w:val="bottom"/>
          </w:tcPr>
          <w:p>
            <w:pPr>
              <w:ind w:left="700"/>
              <w:spacing w:after="0"/>
              <w:rPr>
                <w:sz w:val="20"/>
                <w:szCs w:val="20"/>
                <w:color w:val="auto"/>
              </w:rPr>
            </w:pPr>
            <w:r>
              <w:rPr>
                <w:rFonts w:ascii="Courier New" w:cs="Courier New" w:eastAsia="Courier New" w:hAnsi="Courier New"/>
                <w:sz w:val="15"/>
                <w:szCs w:val="15"/>
                <w:color w:val="auto"/>
              </w:rPr>
              <w:t>and foreign withholding  taxes</w:t>
            </w:r>
          </w:p>
        </w:tc>
        <w:tc>
          <w:tcPr>
            <w:tcW w:w="22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132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126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27"/>
        </w:trPr>
        <w:tc>
          <w:tcPr>
            <w:tcW w:w="3460" w:type="dxa"/>
            <w:vAlign w:val="bottom"/>
          </w:tcPr>
          <w:p>
            <w:pPr>
              <w:spacing w:after="0"/>
              <w:rPr>
                <w:sz w:val="20"/>
                <w:szCs w:val="20"/>
                <w:color w:val="auto"/>
              </w:rPr>
            </w:pPr>
            <w:r>
              <w:rPr>
                <w:rFonts w:ascii="Courier New" w:cs="Courier New" w:eastAsia="Courier New" w:hAnsi="Courier New"/>
                <w:sz w:val="15"/>
                <w:szCs w:val="15"/>
                <w:color w:val="auto"/>
              </w:rPr>
              <w:t>Provision for income and foreign</w:t>
            </w:r>
          </w:p>
        </w:tc>
        <w:tc>
          <w:tcPr>
            <w:tcW w:w="220" w:type="dxa"/>
            <w:vAlign w:val="bottom"/>
          </w:tcPr>
          <w:p>
            <w:pPr>
              <w:spacing w:after="0"/>
              <w:rPr>
                <w:sz w:val="24"/>
                <w:szCs w:val="24"/>
                <w:color w:val="auto"/>
              </w:rPr>
            </w:pPr>
          </w:p>
        </w:tc>
        <w:tc>
          <w:tcPr>
            <w:tcW w:w="10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29,049</w:t>
            </w:r>
          </w:p>
        </w:tc>
        <w:tc>
          <w:tcPr>
            <w:tcW w:w="320" w:type="dxa"/>
            <w:vAlign w:val="bottom"/>
          </w:tcPr>
          <w:p>
            <w:pPr>
              <w:spacing w:after="0"/>
              <w:rPr>
                <w:sz w:val="24"/>
                <w:szCs w:val="24"/>
                <w:color w:val="auto"/>
              </w:rPr>
            </w:pPr>
          </w:p>
        </w:tc>
        <w:tc>
          <w:tcPr>
            <w:tcW w:w="100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(292,330)</w:t>
            </w:r>
          </w:p>
        </w:tc>
        <w:tc>
          <w:tcPr>
            <w:tcW w:w="260" w:type="dxa"/>
            <w:vAlign w:val="bottom"/>
          </w:tcPr>
          <w:p>
            <w:pPr>
              <w:spacing w:after="0"/>
              <w:rPr>
                <w:sz w:val="24"/>
                <w:szCs w:val="24"/>
                <w:color w:val="auto"/>
              </w:rPr>
            </w:pPr>
          </w:p>
        </w:tc>
        <w:tc>
          <w:tcPr>
            <w:tcW w:w="96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(263,281)</w:t>
            </w:r>
          </w:p>
        </w:tc>
        <w:tc>
          <w:tcPr>
            <w:tcW w:w="0" w:type="dxa"/>
            <w:vAlign w:val="bottom"/>
          </w:tcPr>
          <w:p>
            <w:pPr>
              <w:spacing w:after="0"/>
              <w:rPr>
                <w:sz w:val="1"/>
                <w:szCs w:val="1"/>
                <w:color w:val="auto"/>
              </w:rPr>
            </w:pP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withholding taxes</w:t>
            </w:r>
          </w:p>
        </w:tc>
        <w:tc>
          <w:tcPr>
            <w:tcW w:w="2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2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460" w:type="dxa"/>
            <w:vAlign w:val="bottom"/>
          </w:tcPr>
          <w:p>
            <w:pPr>
              <w:spacing w:after="0"/>
              <w:rPr>
                <w:sz w:val="21"/>
                <w:szCs w:val="21"/>
                <w:color w:val="auto"/>
              </w:rPr>
            </w:pPr>
          </w:p>
        </w:tc>
        <w:tc>
          <w:tcPr>
            <w:tcW w:w="12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6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460" w:type="dxa"/>
            <w:vAlign w:val="bottom"/>
          </w:tcPr>
          <w:p>
            <w:pPr>
              <w:ind w:left="700"/>
              <w:spacing w:after="0"/>
              <w:rPr>
                <w:sz w:val="20"/>
                <w:szCs w:val="20"/>
                <w:color w:val="auto"/>
              </w:rPr>
            </w:pPr>
            <w:r>
              <w:rPr>
                <w:rFonts w:ascii="Courier New" w:cs="Courier New" w:eastAsia="Courier New" w:hAnsi="Courier New"/>
                <w:sz w:val="15"/>
                <w:szCs w:val="15"/>
                <w:color w:val="auto"/>
              </w:rPr>
              <w:t>Net income (loss)</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519,401</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(307,078)</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(823,549)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30,239</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 (1,546,750)</w:t>
            </w:r>
          </w:p>
        </w:tc>
        <w:tc>
          <w:tcPr>
            <w:tcW w:w="440" w:type="dxa"/>
            <w:vAlign w:val="bottom"/>
          </w:tcPr>
          <w:p>
            <w:pPr>
              <w:spacing w:after="0"/>
              <w:rPr>
                <w:sz w:val="22"/>
                <w:szCs w:val="22"/>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(2,127,737)</w:t>
            </w:r>
          </w:p>
        </w:tc>
        <w:tc>
          <w:tcPr>
            <w:tcW w:w="0" w:type="dxa"/>
            <w:vAlign w:val="bottom"/>
          </w:tcPr>
          <w:p>
            <w:pPr>
              <w:spacing w:after="0"/>
              <w:rPr>
                <w:sz w:val="1"/>
                <w:szCs w:val="1"/>
                <w:color w:val="auto"/>
              </w:rPr>
            </w:pPr>
          </w:p>
        </w:tc>
      </w:tr>
      <w:tr>
        <w:trPr>
          <w:trHeight w:val="245"/>
        </w:trPr>
        <w:tc>
          <w:tcPr>
            <w:tcW w:w="3460" w:type="dxa"/>
            <w:vAlign w:val="bottom"/>
          </w:tcPr>
          <w:p>
            <w:pPr>
              <w:spacing w:after="0"/>
              <w:rPr>
                <w:sz w:val="21"/>
                <w:szCs w:val="21"/>
                <w:color w:val="auto"/>
              </w:rPr>
            </w:pPr>
          </w:p>
        </w:tc>
        <w:tc>
          <w:tcPr>
            <w:tcW w:w="12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1"/>
                <w:szCs w:val="21"/>
                <w:color w:val="auto"/>
              </w:rPr>
            </w:pP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460" w:type="dxa"/>
            <w:vAlign w:val="bottom"/>
          </w:tcPr>
          <w:p>
            <w:pPr>
              <w:spacing w:after="0"/>
              <w:rPr>
                <w:sz w:val="20"/>
                <w:szCs w:val="20"/>
                <w:color w:val="auto"/>
              </w:rPr>
            </w:pPr>
            <w:r>
              <w:rPr>
                <w:rFonts w:ascii="Courier New" w:cs="Courier New" w:eastAsia="Courier New" w:hAnsi="Courier New"/>
                <w:sz w:val="15"/>
                <w:szCs w:val="15"/>
                <w:color w:val="auto"/>
              </w:rPr>
              <w:t>Net loss per share</w:t>
            </w: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(0.27)</w:t>
            </w:r>
          </w:p>
        </w:tc>
        <w:tc>
          <w:tcPr>
            <w:tcW w:w="0" w:type="dxa"/>
            <w:vAlign w:val="bottom"/>
          </w:tcPr>
          <w:p>
            <w:pPr>
              <w:spacing w:after="0"/>
              <w:rPr>
                <w:sz w:val="1"/>
                <w:szCs w:val="1"/>
                <w:color w:val="auto"/>
              </w:rPr>
            </w:pPr>
          </w:p>
        </w:tc>
      </w:tr>
      <w:tr>
        <w:trPr>
          <w:trHeight w:val="245"/>
        </w:trPr>
        <w:tc>
          <w:tcPr>
            <w:tcW w:w="3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46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(12)</w:t>
            </w:r>
          </w:p>
        </w:tc>
        <w:tc>
          <w:tcPr>
            <w:tcW w:w="220" w:type="dxa"/>
            <w:vAlign w:val="bottom"/>
          </w:tcPr>
          <w:p>
            <w:pPr>
              <w:spacing w:after="0"/>
              <w:rPr>
                <w:sz w:val="22"/>
                <w:szCs w:val="22"/>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7,927,617</w:t>
            </w:r>
          </w:p>
        </w:tc>
        <w:tc>
          <w:tcPr>
            <w:tcW w:w="0" w:type="dxa"/>
            <w:vAlign w:val="bottom"/>
          </w:tcPr>
          <w:p>
            <w:pPr>
              <w:spacing w:after="0"/>
              <w:rPr>
                <w:sz w:val="1"/>
                <w:szCs w:val="1"/>
                <w:color w:val="auto"/>
              </w:rPr>
            </w:pPr>
          </w:p>
        </w:tc>
      </w:tr>
      <w:tr>
        <w:trPr>
          <w:trHeight w:val="245"/>
        </w:trPr>
        <w:tc>
          <w:tcPr>
            <w:tcW w:w="3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ectPr>
          <w:pgSz w:w="11900" w:h="16838" w:orient="portrait"/>
          <w:cols w:equalWidth="0" w:num="1">
            <w:col w:w="11460"/>
          </w:cols>
          <w:pgMar w:left="220" w:top="598" w:right="219" w:bottom="293" w:gutter="0" w:footer="0" w:header="0"/>
        </w:sectPr>
      </w:pPr>
    </w:p>
    <w:bookmarkStart w:id="25" w:name="page26"/>
    <w:bookmarkEnd w:id="25"/>
    <w:p>
      <w:pPr>
        <w:jc w:val="center"/>
        <w:ind w:right="3239"/>
        <w:spacing w:after="0"/>
        <w:rPr>
          <w:sz w:val="20"/>
          <w:szCs w:val="20"/>
          <w:color w:val="auto"/>
        </w:rPr>
      </w:pPr>
      <w:r>
        <w:rPr>
          <w:rFonts w:ascii="Courier New" w:cs="Courier New" w:eastAsia="Courier New" w:hAnsi="Courier New"/>
          <w:sz w:val="15"/>
          <w:szCs w:val="15"/>
          <w:color w:val="auto"/>
        </w:rPr>
        <w:t>Notes to Unaudited Pro Forma Consolidated Financial Statements</w:t>
      </w:r>
    </w:p>
    <w:p>
      <w:pPr>
        <w:spacing w:after="0" w:line="24"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for the year ended 10/31/96</w:t>
      </w:r>
    </w:p>
    <w:p>
      <w:pPr>
        <w:spacing w:after="0" w:line="309" w:lineRule="exact"/>
        <w:rPr>
          <w:sz w:val="20"/>
          <w:szCs w:val="20"/>
          <w:color w:val="auto"/>
        </w:rPr>
      </w:pPr>
    </w:p>
    <w:p>
      <w:pPr>
        <w:ind w:left="440" w:right="3239" w:hanging="430"/>
        <w:spacing w:after="0" w:line="290" w:lineRule="auto"/>
        <w:tabs>
          <w:tab w:leader="none" w:pos="4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Company's audited historical financial statements for the year ended October 31, 1996, which includes the operations of Mission from September 17, 1996, the date of its acquisition.</w:t>
      </w:r>
    </w:p>
    <w:p>
      <w:pPr>
        <w:spacing w:after="0" w:line="56" w:lineRule="exact"/>
        <w:rPr>
          <w:rFonts w:ascii="Courier New" w:cs="Courier New" w:eastAsia="Courier New" w:hAnsi="Courier New"/>
          <w:sz w:val="15"/>
          <w:szCs w:val="15"/>
          <w:color w:val="auto"/>
        </w:rPr>
      </w:pPr>
    </w:p>
    <w:p>
      <w:pPr>
        <w:ind w:left="440" w:right="3239" w:hanging="430"/>
        <w:spacing w:after="0" w:line="320" w:lineRule="auto"/>
        <w:tabs>
          <w:tab w:leader="none" w:pos="44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Mission's unaudited historical financial statements for the period from November 1, 1995 to September 16, 1996. No game titles were released during this period. The Company released Jetfighter III in November 1996.</w:t>
      </w:r>
    </w:p>
    <w:p>
      <w:pPr>
        <w:spacing w:after="0" w:line="38" w:lineRule="exact"/>
        <w:rPr>
          <w:rFonts w:ascii="Courier New" w:cs="Courier New" w:eastAsia="Courier New" w:hAnsi="Courier New"/>
          <w:sz w:val="14"/>
          <w:szCs w:val="14"/>
          <w:color w:val="auto"/>
        </w:rPr>
      </w:pPr>
    </w:p>
    <w:p>
      <w:pPr>
        <w:ind w:left="440" w:right="3579" w:hanging="430"/>
        <w:spacing w:after="0" w:line="344" w:lineRule="auto"/>
        <w:tabs>
          <w:tab w:leader="none" w:pos="4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GameTek's audited historical financial statements for the year ended July 31, 1996.</w:t>
      </w:r>
    </w:p>
    <w:p>
      <w:pPr>
        <w:spacing w:after="0" w:line="17" w:lineRule="exact"/>
        <w:rPr>
          <w:rFonts w:ascii="Courier New" w:cs="Courier New" w:eastAsia="Courier New" w:hAnsi="Courier New"/>
          <w:sz w:val="15"/>
          <w:szCs w:val="15"/>
          <w:color w:val="auto"/>
        </w:rPr>
      </w:pPr>
    </w:p>
    <w:p>
      <w:pPr>
        <w:ind w:left="440" w:right="3319" w:hanging="430"/>
        <w:spacing w:after="0" w:line="344" w:lineRule="auto"/>
        <w:tabs>
          <w:tab w:leader="none" w:pos="4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IMSI's audited historical financial statements for the year ended October 31, 1996.</w:t>
      </w:r>
    </w:p>
    <w:p>
      <w:pPr>
        <w:spacing w:after="0" w:line="17" w:lineRule="exact"/>
        <w:rPr>
          <w:rFonts w:ascii="Courier New" w:cs="Courier New" w:eastAsia="Courier New" w:hAnsi="Courier New"/>
          <w:sz w:val="15"/>
          <w:szCs w:val="15"/>
          <w:color w:val="auto"/>
        </w:rPr>
      </w:pPr>
    </w:p>
    <w:p>
      <w:pPr>
        <w:ind w:left="440" w:right="3239" w:hanging="430"/>
        <w:spacing w:after="0" w:line="344" w:lineRule="auto"/>
        <w:tabs>
          <w:tab w:leader="none" w:pos="4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elimination of inter-company transactions between Take-Two and GameTek.</w:t>
      </w:r>
    </w:p>
    <w:p>
      <w:pPr>
        <w:spacing w:after="0" w:line="17" w:lineRule="exact"/>
        <w:rPr>
          <w:rFonts w:ascii="Courier New" w:cs="Courier New" w:eastAsia="Courier New" w:hAnsi="Courier New"/>
          <w:sz w:val="15"/>
          <w:szCs w:val="15"/>
          <w:color w:val="auto"/>
        </w:rPr>
      </w:pPr>
    </w:p>
    <w:p>
      <w:pPr>
        <w:ind w:left="440" w:right="3319" w:hanging="430"/>
        <w:spacing w:after="0" w:line="381" w:lineRule="auto"/>
        <w:tabs>
          <w:tab w:leader="none" w:pos="44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the adjustment of $391,969, which represents the amortization of the intangible assets acquired in connection with the Mission acquisition.</w:t>
      </w:r>
    </w:p>
    <w:p>
      <w:pPr>
        <w:spacing w:after="0" w:line="1" w:lineRule="exact"/>
        <w:rPr>
          <w:rFonts w:ascii="Courier New" w:cs="Courier New" w:eastAsia="Courier New" w:hAnsi="Courier New"/>
          <w:sz w:val="14"/>
          <w:szCs w:val="14"/>
          <w:color w:val="auto"/>
        </w:rPr>
      </w:pPr>
    </w:p>
    <w:p>
      <w:pPr>
        <w:ind w:left="440" w:right="3319" w:hanging="430"/>
        <w:spacing w:after="0" w:line="273" w:lineRule="auto"/>
        <w:tabs>
          <w:tab w:leader="none" w:pos="4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adjustment of $377,365, which represents the amortization of the intangible assets acquired in connection with the GameTek acquisition. The acquired intangible asset is being amortized over the estimated useful life of 10 years.</w:t>
      </w:r>
    </w:p>
    <w:p>
      <w:pPr>
        <w:spacing w:after="0" w:line="68" w:lineRule="exact"/>
        <w:rPr>
          <w:sz w:val="20"/>
          <w:szCs w:val="20"/>
          <w:color w:val="auto"/>
        </w:rPr>
      </w:pPr>
    </w:p>
    <w:p>
      <w:pPr>
        <w:ind w:left="440" w:right="3679"/>
        <w:spacing w:after="0" w:line="381" w:lineRule="auto"/>
        <w:rPr>
          <w:sz w:val="20"/>
          <w:szCs w:val="20"/>
          <w:color w:val="auto"/>
        </w:rPr>
      </w:pPr>
      <w:r>
        <w:rPr>
          <w:rFonts w:ascii="Courier New" w:cs="Courier New" w:eastAsia="Courier New" w:hAnsi="Courier New"/>
          <w:sz w:val="14"/>
          <w:szCs w:val="14"/>
          <w:color w:val="auto"/>
        </w:rPr>
        <w:t>The cost of the acquisition was allocated to the assets acquired and liabilities assumed based upon their estimated fair values as follows:</w:t>
      </w:r>
    </w:p>
    <w:tbl>
      <w:tblPr>
        <w:tblLayout w:type="fixed"/>
        <w:tblInd w:w="1140" w:type="dxa"/>
        <w:tblCellMar>
          <w:top w:w="0" w:type="dxa"/>
          <w:left w:w="0" w:type="dxa"/>
          <w:bottom w:w="0" w:type="dxa"/>
          <w:right w:w="0" w:type="dxa"/>
        </w:tblCellMar>
      </w:tblPr>
      <w:tr>
        <w:trPr>
          <w:trHeight w:val="169"/>
        </w:trPr>
        <w:tc>
          <w:tcPr>
            <w:tcW w:w="258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2320" w:type="dxa"/>
            <w:vAlign w:val="bottom"/>
          </w:tcPr>
          <w:p>
            <w:pPr>
              <w:jc w:val="right"/>
              <w:spacing w:after="0"/>
              <w:rPr>
                <w:sz w:val="20"/>
                <w:szCs w:val="20"/>
                <w:color w:val="auto"/>
              </w:rPr>
            </w:pPr>
            <w:r>
              <w:rPr>
                <w:rFonts w:ascii="Courier New" w:cs="Courier New" w:eastAsia="Courier New" w:hAnsi="Courier New"/>
                <w:sz w:val="15"/>
                <w:szCs w:val="15"/>
                <w:color w:val="auto"/>
              </w:rPr>
              <w:t>$(1,160,278)</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Equipment</w:t>
            </w:r>
          </w:p>
        </w:tc>
        <w:tc>
          <w:tcPr>
            <w:tcW w:w="2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59,786</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Software titles</w:t>
            </w:r>
          </w:p>
        </w:tc>
        <w:tc>
          <w:tcPr>
            <w:tcW w:w="2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1,175,000</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Intangibles</w:t>
            </w:r>
          </w:p>
        </w:tc>
        <w:tc>
          <w:tcPr>
            <w:tcW w:w="2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3,773,654</w:t>
            </w:r>
          </w:p>
        </w:tc>
      </w:tr>
      <w:tr>
        <w:trPr>
          <w:trHeight w:val="168"/>
        </w:trPr>
        <w:tc>
          <w:tcPr>
            <w:tcW w:w="2580" w:type="dxa"/>
            <w:vAlign w:val="bottom"/>
          </w:tcPr>
          <w:p>
            <w:pPr>
              <w:spacing w:after="0"/>
              <w:rPr>
                <w:sz w:val="14"/>
                <w:szCs w:val="14"/>
                <w:color w:val="auto"/>
              </w:rPr>
            </w:pPr>
          </w:p>
        </w:tc>
        <w:tc>
          <w:tcPr>
            <w:tcW w:w="2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80" w:type="dxa"/>
            <w:vAlign w:val="bottom"/>
          </w:tcPr>
          <w:p>
            <w:pPr>
              <w:spacing w:after="0"/>
              <w:rPr>
                <w:sz w:val="14"/>
                <w:szCs w:val="14"/>
                <w:color w:val="auto"/>
              </w:rPr>
            </w:pPr>
          </w:p>
        </w:tc>
        <w:tc>
          <w:tcPr>
            <w:tcW w:w="2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$ 3,848,162</w:t>
            </w:r>
          </w:p>
        </w:tc>
      </w:tr>
      <w:tr>
        <w:trPr>
          <w:trHeight w:val="245"/>
        </w:trPr>
        <w:tc>
          <w:tcPr>
            <w:tcW w:w="2580" w:type="dxa"/>
            <w:vAlign w:val="bottom"/>
          </w:tcPr>
          <w:p>
            <w:pPr>
              <w:spacing w:after="0"/>
              <w:rPr>
                <w:sz w:val="21"/>
                <w:szCs w:val="21"/>
                <w:color w:val="auto"/>
              </w:rPr>
            </w:pPr>
          </w:p>
        </w:tc>
        <w:tc>
          <w:tcPr>
            <w:tcW w:w="2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91" w:lineRule="exact"/>
        <w:rPr>
          <w:sz w:val="20"/>
          <w:szCs w:val="20"/>
          <w:color w:val="auto"/>
        </w:rPr>
      </w:pPr>
    </w:p>
    <w:p>
      <w:pPr>
        <w:ind w:left="440" w:hanging="430"/>
        <w:spacing w:after="0"/>
        <w:tabs>
          <w:tab w:leader="none" w:pos="4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additional interest expense incurred in connection with the</w:t>
      </w:r>
    </w:p>
    <w:p>
      <w:pPr>
        <w:spacing w:after="0" w:line="24" w:lineRule="exact"/>
        <w:rPr>
          <w:rFonts w:ascii="Courier New" w:cs="Courier New" w:eastAsia="Courier New" w:hAnsi="Courier New"/>
          <w:sz w:val="15"/>
          <w:szCs w:val="15"/>
          <w:color w:val="auto"/>
        </w:rPr>
      </w:pPr>
    </w:p>
    <w:p>
      <w:pPr>
        <w:ind w:left="440" w:right="3399"/>
        <w:spacing w:after="0" w:line="30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$337,500 promissory note, bearing interest at an effective rate of 10.25% per annum, issued in connection with the Mission acquisition.</w:t>
      </w:r>
    </w:p>
    <w:p>
      <w:pPr>
        <w:spacing w:after="0" w:line="43" w:lineRule="exact"/>
        <w:rPr>
          <w:rFonts w:ascii="Courier New" w:cs="Courier New" w:eastAsia="Courier New" w:hAnsi="Courier New"/>
          <w:sz w:val="15"/>
          <w:szCs w:val="15"/>
          <w:color w:val="auto"/>
        </w:rPr>
      </w:pPr>
    </w:p>
    <w:p>
      <w:pPr>
        <w:ind w:left="440" w:right="3319" w:hanging="430"/>
        <w:spacing w:after="0" w:line="273" w:lineRule="auto"/>
        <w:tabs>
          <w:tab w:leader="none" w:pos="4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additional interest expense incurred in connection with the 1996 private placement of debt securities, bearing interest at 10.25% per annum for the short-term portion of the notes and 14.0% per annum for the long-term portion of the notes.</w:t>
      </w:r>
    </w:p>
    <w:p>
      <w:pPr>
        <w:spacing w:after="0" w:line="67" w:lineRule="exact"/>
        <w:rPr>
          <w:rFonts w:ascii="Courier New" w:cs="Courier New" w:eastAsia="Courier New" w:hAnsi="Courier New"/>
          <w:sz w:val="15"/>
          <w:szCs w:val="15"/>
          <w:color w:val="auto"/>
        </w:rPr>
      </w:pPr>
    </w:p>
    <w:p>
      <w:pPr>
        <w:ind w:left="440" w:right="3239" w:hanging="430"/>
        <w:spacing w:after="0" w:line="290" w:lineRule="auto"/>
        <w:tabs>
          <w:tab w:leader="none" w:pos="4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additional interest expense as a result of the amortization of the discount attributable to the issuance of warrants in connection with the 1996 private placement of debt securities.</w:t>
      </w:r>
    </w:p>
    <w:p>
      <w:pPr>
        <w:spacing w:after="0" w:line="56" w:lineRule="exact"/>
        <w:rPr>
          <w:rFonts w:ascii="Courier New" w:cs="Courier New" w:eastAsia="Courier New" w:hAnsi="Courier New"/>
          <w:sz w:val="15"/>
          <w:szCs w:val="15"/>
          <w:color w:val="auto"/>
        </w:rPr>
      </w:pPr>
    </w:p>
    <w:p>
      <w:pPr>
        <w:ind w:left="440" w:right="3399" w:hanging="430"/>
        <w:spacing w:after="0" w:line="290" w:lineRule="auto"/>
        <w:tabs>
          <w:tab w:leader="none" w:pos="4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interest expense incurred in connection with the $500,000 promissory note, bearing interest at 8.0% per annum, issued in connection with the GameTek acquisition.</w:t>
      </w:r>
    </w:p>
    <w:p>
      <w:pPr>
        <w:spacing w:after="0" w:line="56" w:lineRule="exact"/>
        <w:rPr>
          <w:rFonts w:ascii="Courier New" w:cs="Courier New" w:eastAsia="Courier New" w:hAnsi="Courier New"/>
          <w:sz w:val="15"/>
          <w:szCs w:val="15"/>
          <w:color w:val="auto"/>
        </w:rPr>
      </w:pPr>
    </w:p>
    <w:p>
      <w:pPr>
        <w:ind w:left="440" w:right="3239" w:hanging="430"/>
        <w:spacing w:after="0" w:line="320" w:lineRule="auto"/>
        <w:tabs>
          <w:tab w:leader="none" w:pos="4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the Company's historical weighted average shares outstanding, plus 750,000 shares issued in connection with the acquisition of IMSI, plus 406,553 shares issued in connection with the acquisition of GameTek.</w:t>
      </w:r>
    </w:p>
    <w:p>
      <w:pPr>
        <w:sectPr>
          <w:pgSz w:w="11900" w:h="16838" w:orient="portrait"/>
          <w:cols w:equalWidth="0" w:num="1">
            <w:col w:w="10239"/>
          </w:cols>
          <w:pgMar w:left="220" w:top="766" w:right="1440" w:bottom="1440" w:gutter="0" w:footer="0" w:header="0"/>
        </w:sectPr>
      </w:pPr>
    </w:p>
    <w:bookmarkStart w:id="26" w:name="page27"/>
    <w:bookmarkEnd w:id="26"/>
    <w:p>
      <w:pPr>
        <w:jc w:val="both"/>
        <w:ind w:right="880"/>
        <w:spacing w:after="0" w:line="267" w:lineRule="auto"/>
        <w:rPr>
          <w:sz w:val="20"/>
          <w:szCs w:val="20"/>
          <w:color w:val="auto"/>
        </w:rPr>
      </w:pPr>
      <w:r>
        <w:rPr>
          <w:rFonts w:ascii="Courier New" w:cs="Courier New" w:eastAsia="Courier New" w:hAnsi="Courier New"/>
          <w:sz w:val="14"/>
          <w:szCs w:val="14"/>
          <w:color w:val="auto"/>
        </w:rPr>
        <w:t>The following unaudited pro forma consolidated statement of operations, for the nine months ended July 31, 1997, including the notes thereto, give effect to the acquisitions of Mission, GameTek, IMSI and Creative Alliance Group, Inc.</w:t>
      </w:r>
    </w:p>
    <w:p>
      <w:pPr>
        <w:spacing w:after="0" w:line="1" w:lineRule="exact"/>
        <w:rPr>
          <w:sz w:val="20"/>
          <w:szCs w:val="20"/>
          <w:color w:val="auto"/>
        </w:rPr>
      </w:pPr>
    </w:p>
    <w:p>
      <w:pPr>
        <w:ind w:right="1140"/>
        <w:spacing w:after="0" w:line="307" w:lineRule="auto"/>
        <w:rPr>
          <w:sz w:val="20"/>
          <w:szCs w:val="20"/>
          <w:color w:val="auto"/>
        </w:rPr>
      </w:pPr>
      <w:r>
        <w:rPr>
          <w:rFonts w:ascii="Courier New" w:cs="Courier New" w:eastAsia="Courier New" w:hAnsi="Courier New"/>
          <w:sz w:val="15"/>
          <w:szCs w:val="15"/>
          <w:color w:val="auto"/>
        </w:rPr>
        <w:t>("CAG"), by the Company as if the acquisitions had occurred as of November 1, 1995.</w:t>
      </w:r>
    </w:p>
    <w:p>
      <w:pPr>
        <w:spacing w:after="0" w:line="44" w:lineRule="exact"/>
        <w:rPr>
          <w:sz w:val="20"/>
          <w:szCs w:val="20"/>
          <w:color w:val="auto"/>
        </w:rPr>
      </w:pPr>
    </w:p>
    <w:p>
      <w:pPr>
        <w:ind w:right="880"/>
        <w:spacing w:after="0" w:line="276" w:lineRule="auto"/>
        <w:rPr>
          <w:sz w:val="20"/>
          <w:szCs w:val="20"/>
          <w:color w:val="auto"/>
        </w:rPr>
      </w:pPr>
      <w:r>
        <w:rPr>
          <w:rFonts w:ascii="Courier New" w:cs="Courier New" w:eastAsia="Courier New" w:hAnsi="Courier New"/>
          <w:sz w:val="14"/>
          <w:szCs w:val="14"/>
          <w:color w:val="auto"/>
        </w:rPr>
        <w:t>Under purchase accounting, the assets and liabilities of the acquired businesses are required to be adjusted from their historical amount to their estimated fair value. Purchase accounting adjustments have been preliminarily estimated by the Company's management based upon available information and are believed by management to be reasonable. There can be no assurance, however, that the final purchase accounting adjustments that will ultimately be determined by the Company's management will not differ from these estimates.</w:t>
      </w:r>
    </w:p>
    <w:p>
      <w:pPr>
        <w:spacing w:after="0" w:line="69" w:lineRule="exact"/>
        <w:rPr>
          <w:sz w:val="20"/>
          <w:szCs w:val="20"/>
          <w:color w:val="auto"/>
        </w:rPr>
      </w:pPr>
    </w:p>
    <w:p>
      <w:pPr>
        <w:ind w:right="880"/>
        <w:spacing w:after="0" w:line="250" w:lineRule="auto"/>
        <w:rPr>
          <w:sz w:val="20"/>
          <w:szCs w:val="20"/>
          <w:color w:val="auto"/>
        </w:rPr>
      </w:pPr>
      <w:r>
        <w:rPr>
          <w:rFonts w:ascii="Courier New" w:cs="Courier New" w:eastAsia="Courier New" w:hAnsi="Courier New"/>
          <w:sz w:val="15"/>
          <w:szCs w:val="15"/>
          <w:color w:val="auto"/>
        </w:rPr>
        <w:t>The unaudited pro forma consolidated statement of operations for the nine month period ended July 31, 1997 has been prepared based on the unaudited historical consolidated statement of operations of the Company as reported in the Company's Form 10Q-SB for the quarter ended July 31, 1997 and the unaudited historical consolidated statement of operations for the period from November 1, 1996 to July 29, 1997, (the day prior to the effective acquisition date of GameTek). The historical statement of operations for Alternative Realty Technologies, Inc. is immaterial and has not been included in the unaudited pro forma consolidated statement of operations.</w:t>
      </w:r>
    </w:p>
    <w:p>
      <w:pPr>
        <w:spacing w:after="0" w:line="89" w:lineRule="exact"/>
        <w:rPr>
          <w:sz w:val="20"/>
          <w:szCs w:val="20"/>
          <w:color w:val="auto"/>
        </w:rPr>
      </w:pPr>
    </w:p>
    <w:p>
      <w:pPr>
        <w:ind w:right="880"/>
        <w:spacing w:after="0" w:line="267" w:lineRule="auto"/>
        <w:rPr>
          <w:sz w:val="20"/>
          <w:szCs w:val="20"/>
          <w:color w:val="auto"/>
        </w:rPr>
      </w:pPr>
      <w:r>
        <w:rPr>
          <w:rFonts w:ascii="Courier New" w:cs="Courier New" w:eastAsia="Courier New" w:hAnsi="Courier New"/>
          <w:sz w:val="14"/>
          <w:szCs w:val="14"/>
          <w:color w:val="auto"/>
        </w:rPr>
        <w:t>The unaudited pro forma consolidated financial information presented for informational purposes only, is not necessarily indicative of the actual results of operations of the Company that would have been reported if the acquisitions of Mission, GameTek, IMSI and CAG had occurred as of November 1, 1995 nor does such information purport to indicate results of future operations or financial condition. In the opinion of management, all adjustments necessary to present fairly such pro forma financial information have been made to the financial statements, and are reflected in the accompanying notes. The unaudited pro forma consolidated financial information should be read in conjunction with the Company's Registration Statement on Form SB-2 and with the financial statements included in this filing.</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2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Historical</w:t>
            </w:r>
          </w:p>
        </w:tc>
        <w:tc>
          <w:tcPr>
            <w:tcW w:w="0" w:type="dxa"/>
            <w:vAlign w:val="bottom"/>
          </w:tcPr>
          <w:p>
            <w:pPr>
              <w:spacing w:after="0"/>
              <w:rPr>
                <w:sz w:val="1"/>
                <w:szCs w:val="1"/>
                <w:color w:val="auto"/>
              </w:rPr>
            </w:pPr>
          </w:p>
        </w:tc>
      </w:tr>
      <w:tr>
        <w:trPr>
          <w:trHeight w:val="168"/>
        </w:trPr>
        <w:tc>
          <w:tcPr>
            <w:tcW w:w="4780" w:type="dxa"/>
            <w:vAlign w:val="bottom"/>
          </w:tcPr>
          <w:p>
            <w:pPr>
              <w:spacing w:after="0"/>
              <w:rPr>
                <w:sz w:val="14"/>
                <w:szCs w:val="14"/>
                <w:color w:val="auto"/>
              </w:rPr>
            </w:pPr>
          </w:p>
        </w:tc>
        <w:tc>
          <w:tcPr>
            <w:tcW w:w="310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Company (1)</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GameTek (2)</w:t>
            </w:r>
          </w:p>
        </w:tc>
        <w:tc>
          <w:tcPr>
            <w:tcW w:w="0" w:type="dxa"/>
            <w:vAlign w:val="bottom"/>
          </w:tcPr>
          <w:p>
            <w:pPr>
              <w:spacing w:after="0"/>
              <w:rPr>
                <w:sz w:val="1"/>
                <w:szCs w:val="1"/>
                <w:color w:val="auto"/>
              </w:rPr>
            </w:pPr>
          </w:p>
        </w:tc>
      </w:tr>
      <w:tr>
        <w:trPr>
          <w:trHeight w:val="245"/>
        </w:trPr>
        <w:tc>
          <w:tcPr>
            <w:tcW w:w="4780" w:type="dxa"/>
            <w:vAlign w:val="bottom"/>
          </w:tcPr>
          <w:p>
            <w:pPr>
              <w:spacing w:after="0"/>
              <w:rPr>
                <w:sz w:val="21"/>
                <w:szCs w:val="21"/>
                <w:color w:val="auto"/>
              </w:rPr>
            </w:pPr>
          </w:p>
        </w:tc>
        <w:tc>
          <w:tcPr>
            <w:tcW w:w="17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47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12,480,137</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3,081,054</w:t>
            </w:r>
          </w:p>
        </w:tc>
        <w:tc>
          <w:tcPr>
            <w:tcW w:w="0" w:type="dxa"/>
            <w:vAlign w:val="bottom"/>
          </w:tcPr>
          <w:p>
            <w:pPr>
              <w:spacing w:after="0"/>
              <w:rPr>
                <w:sz w:val="1"/>
                <w:szCs w:val="1"/>
                <w:color w:val="auto"/>
              </w:rPr>
            </w:pPr>
          </w:p>
        </w:tc>
      </w:tr>
      <w:tr>
        <w:trPr>
          <w:trHeight w:val="259"/>
        </w:trPr>
        <w:tc>
          <w:tcPr>
            <w:tcW w:w="478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480" w:type="dxa"/>
            <w:vAlign w:val="bottom"/>
          </w:tcPr>
          <w:p>
            <w:pPr>
              <w:spacing w:after="0"/>
              <w:rPr>
                <w:sz w:val="22"/>
                <w:szCs w:val="22"/>
                <w:color w:val="auto"/>
              </w:rPr>
            </w:pP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7,701,026</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3,727,094</w:t>
            </w:r>
          </w:p>
        </w:tc>
        <w:tc>
          <w:tcPr>
            <w:tcW w:w="0" w:type="dxa"/>
            <w:vAlign w:val="bottom"/>
          </w:tcPr>
          <w:p>
            <w:pPr>
              <w:spacing w:after="0"/>
              <w:rPr>
                <w:sz w:val="1"/>
                <w:szCs w:val="1"/>
                <w:color w:val="auto"/>
              </w:rPr>
            </w:pPr>
          </w:p>
        </w:tc>
      </w:tr>
      <w:tr>
        <w:trPr>
          <w:trHeight w:val="245"/>
        </w:trPr>
        <w:tc>
          <w:tcPr>
            <w:tcW w:w="4780" w:type="dxa"/>
            <w:vAlign w:val="bottom"/>
          </w:tcPr>
          <w:p>
            <w:pPr>
              <w:spacing w:after="0"/>
              <w:rPr>
                <w:sz w:val="21"/>
                <w:szCs w:val="21"/>
                <w:color w:val="auto"/>
              </w:rPr>
            </w:pPr>
          </w:p>
        </w:tc>
        <w:tc>
          <w:tcPr>
            <w:tcW w:w="17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4780" w:type="dxa"/>
            <w:vAlign w:val="bottom"/>
          </w:tcPr>
          <w:p>
            <w:pPr>
              <w:ind w:left="880"/>
              <w:spacing w:after="0"/>
              <w:rPr>
                <w:sz w:val="20"/>
                <w:szCs w:val="20"/>
                <w:color w:val="auto"/>
              </w:rPr>
            </w:pPr>
            <w:r>
              <w:rPr>
                <w:rFonts w:ascii="Courier New" w:cs="Courier New" w:eastAsia="Courier New" w:hAnsi="Courier New"/>
                <w:sz w:val="15"/>
                <w:szCs w:val="15"/>
                <w:color w:val="auto"/>
              </w:rPr>
              <w:t>Gross profit</w:t>
            </w:r>
          </w:p>
        </w:tc>
        <w:tc>
          <w:tcPr>
            <w:tcW w:w="480" w:type="dxa"/>
            <w:vAlign w:val="bottom"/>
          </w:tcPr>
          <w:p>
            <w:pPr>
              <w:spacing w:after="0"/>
              <w:rPr>
                <w:sz w:val="24"/>
                <w:szCs w:val="24"/>
                <w:color w:val="auto"/>
              </w:rPr>
            </w:pP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4,779,111</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(646,040)</w:t>
            </w:r>
          </w:p>
        </w:tc>
        <w:tc>
          <w:tcPr>
            <w:tcW w:w="0" w:type="dxa"/>
            <w:vAlign w:val="bottom"/>
          </w:tcPr>
          <w:p>
            <w:pPr>
              <w:spacing w:after="0"/>
              <w:rPr>
                <w:sz w:val="1"/>
                <w:szCs w:val="1"/>
                <w:color w:val="auto"/>
              </w:rPr>
            </w:pPr>
          </w:p>
        </w:tc>
      </w:tr>
      <w:tr>
        <w:trPr>
          <w:trHeight w:val="259"/>
        </w:trPr>
        <w:tc>
          <w:tcPr>
            <w:tcW w:w="47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480" w:type="dxa"/>
            <w:vAlign w:val="bottom"/>
          </w:tcPr>
          <w:p>
            <w:pPr>
              <w:spacing w:after="0"/>
              <w:rPr>
                <w:sz w:val="22"/>
                <w:szCs w:val="22"/>
                <w:color w:val="auto"/>
              </w:rPr>
            </w:pPr>
          </w:p>
        </w:tc>
        <w:tc>
          <w:tcPr>
            <w:tcW w:w="126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890,003</w:t>
            </w:r>
          </w:p>
        </w:tc>
        <w:tc>
          <w:tcPr>
            <w:tcW w:w="13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Research and development</w:t>
            </w:r>
          </w:p>
        </w:tc>
        <w:tc>
          <w:tcPr>
            <w:tcW w:w="4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Selling and marketing</w:t>
            </w:r>
          </w:p>
        </w:tc>
        <w:tc>
          <w:tcPr>
            <w:tcW w:w="48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2,734,494</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736,377</w:t>
            </w:r>
          </w:p>
        </w:tc>
        <w:tc>
          <w:tcPr>
            <w:tcW w:w="0" w:type="dxa"/>
            <w:vAlign w:val="bottom"/>
          </w:tcPr>
          <w:p>
            <w:pPr>
              <w:spacing w:after="0"/>
              <w:rPr>
                <w:sz w:val="1"/>
                <w:szCs w:val="1"/>
                <w:color w:val="auto"/>
              </w:rPr>
            </w:pPr>
          </w:p>
        </w:tc>
      </w:tr>
      <w:tr>
        <w:trPr>
          <w:trHeight w:val="168"/>
        </w:trPr>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48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1,816,942</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2,539,249</w:t>
            </w:r>
          </w:p>
        </w:tc>
        <w:tc>
          <w:tcPr>
            <w:tcW w:w="0" w:type="dxa"/>
            <w:vAlign w:val="bottom"/>
          </w:tcPr>
          <w:p>
            <w:pPr>
              <w:spacing w:after="0"/>
              <w:rPr>
                <w:sz w:val="1"/>
                <w:szCs w:val="1"/>
                <w:color w:val="auto"/>
              </w:rPr>
            </w:pPr>
          </w:p>
        </w:tc>
      </w:tr>
      <w:tr>
        <w:trPr>
          <w:trHeight w:val="168"/>
        </w:trPr>
        <w:tc>
          <w:tcPr>
            <w:tcW w:w="4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48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494,572</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58,627</w:t>
            </w:r>
          </w:p>
        </w:tc>
        <w:tc>
          <w:tcPr>
            <w:tcW w:w="0" w:type="dxa"/>
            <w:vAlign w:val="bottom"/>
          </w:tcPr>
          <w:p>
            <w:pPr>
              <w:spacing w:after="0"/>
              <w:rPr>
                <w:sz w:val="1"/>
                <w:szCs w:val="1"/>
                <w:color w:val="auto"/>
              </w:rPr>
            </w:pPr>
          </w:p>
        </w:tc>
      </w:tr>
      <w:tr>
        <w:trPr>
          <w:trHeight w:val="168"/>
        </w:trPr>
        <w:tc>
          <w:tcPr>
            <w:tcW w:w="4780" w:type="dxa"/>
            <w:vAlign w:val="bottom"/>
            <w:vMerge w:val="restart"/>
          </w:tcPr>
          <w:p>
            <w:pPr>
              <w:ind w:left="880"/>
              <w:spacing w:after="0"/>
              <w:rPr>
                <w:sz w:val="20"/>
                <w:szCs w:val="20"/>
                <w:color w:val="auto"/>
              </w:rPr>
            </w:pPr>
            <w:r>
              <w:rPr>
                <w:rFonts w:ascii="Courier New" w:cs="Courier New" w:eastAsia="Courier New" w:hAnsi="Courier New"/>
                <w:sz w:val="15"/>
                <w:szCs w:val="15"/>
                <w:color w:val="auto"/>
              </w:rPr>
              <w:t>Total operating expenses</w:t>
            </w:r>
          </w:p>
        </w:tc>
        <w:tc>
          <w:tcPr>
            <w:tcW w:w="480" w:type="dxa"/>
            <w:vAlign w:val="bottom"/>
          </w:tcPr>
          <w:p>
            <w:pPr>
              <w:jc w:val="right"/>
              <w:spacing w:after="0"/>
              <w:rPr>
                <w:sz w:val="20"/>
                <w:szCs w:val="20"/>
                <w:color w:val="auto"/>
              </w:rPr>
            </w:pPr>
            <w:r>
              <w:rPr>
                <w:rFonts w:ascii="Courier New" w:cs="Courier New" w:eastAsia="Courier New" w:hAnsi="Courier New"/>
                <w:sz w:val="9"/>
                <w:szCs w:val="9"/>
                <w:color w:val="auto"/>
                <w:w w:val="70"/>
              </w:rPr>
              <w:t>------------</w:t>
            </w:r>
          </w:p>
        </w:tc>
        <w:tc>
          <w:tcPr>
            <w:tcW w:w="126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5,936,011</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78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3,334,253</w:t>
            </w:r>
          </w:p>
        </w:tc>
        <w:tc>
          <w:tcPr>
            <w:tcW w:w="0" w:type="dxa"/>
            <w:vAlign w:val="bottom"/>
          </w:tcPr>
          <w:p>
            <w:pPr>
              <w:spacing w:after="0"/>
              <w:rPr>
                <w:sz w:val="1"/>
                <w:szCs w:val="1"/>
                <w:color w:val="auto"/>
              </w:rPr>
            </w:pPr>
          </w:p>
        </w:tc>
      </w:tr>
      <w:tr>
        <w:trPr>
          <w:trHeight w:val="245"/>
        </w:trPr>
        <w:tc>
          <w:tcPr>
            <w:tcW w:w="4780" w:type="dxa"/>
            <w:vAlign w:val="bottom"/>
          </w:tcPr>
          <w:p>
            <w:pPr>
              <w:spacing w:after="0"/>
              <w:rPr>
                <w:sz w:val="21"/>
                <w:szCs w:val="21"/>
                <w:color w:val="auto"/>
              </w:rPr>
            </w:pPr>
          </w:p>
        </w:tc>
        <w:tc>
          <w:tcPr>
            <w:tcW w:w="17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4780" w:type="dxa"/>
            <w:vAlign w:val="bottom"/>
          </w:tcPr>
          <w:p>
            <w:pPr>
              <w:ind w:left="880"/>
              <w:spacing w:after="0"/>
              <w:rPr>
                <w:sz w:val="20"/>
                <w:szCs w:val="20"/>
                <w:color w:val="auto"/>
              </w:rPr>
            </w:pPr>
            <w:r>
              <w:rPr>
                <w:rFonts w:ascii="Courier New" w:cs="Courier New" w:eastAsia="Courier New" w:hAnsi="Courier New"/>
                <w:sz w:val="15"/>
                <w:szCs w:val="15"/>
                <w:color w:val="auto"/>
              </w:rPr>
              <w:t>Income (loss) from operations</w:t>
            </w:r>
          </w:p>
        </w:tc>
        <w:tc>
          <w:tcPr>
            <w:tcW w:w="480" w:type="dxa"/>
            <w:vAlign w:val="bottom"/>
          </w:tcPr>
          <w:p>
            <w:pPr>
              <w:spacing w:after="0"/>
              <w:rPr>
                <w:sz w:val="24"/>
                <w:szCs w:val="24"/>
                <w:color w:val="auto"/>
              </w:rPr>
            </w:pP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(1,156,900)</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(3,980,293)</w:t>
            </w:r>
          </w:p>
        </w:tc>
        <w:tc>
          <w:tcPr>
            <w:tcW w:w="0" w:type="dxa"/>
            <w:vAlign w:val="bottom"/>
          </w:tcPr>
          <w:p>
            <w:pPr>
              <w:spacing w:after="0"/>
              <w:rPr>
                <w:sz w:val="1"/>
                <w:szCs w:val="1"/>
                <w:color w:val="auto"/>
              </w:rPr>
            </w:pPr>
          </w:p>
        </w:tc>
      </w:tr>
      <w:tr>
        <w:trPr>
          <w:trHeight w:val="505"/>
        </w:trPr>
        <w:tc>
          <w:tcPr>
            <w:tcW w:w="4780" w:type="dxa"/>
            <w:vAlign w:val="bottom"/>
          </w:tcPr>
          <w:p>
            <w:pPr>
              <w:spacing w:after="0"/>
              <w:rPr>
                <w:sz w:val="20"/>
                <w:szCs w:val="20"/>
                <w:color w:val="auto"/>
              </w:rPr>
            </w:pPr>
            <w:r>
              <w:rPr>
                <w:rFonts w:ascii="Courier New" w:cs="Courier New" w:eastAsia="Courier New" w:hAnsi="Courier New"/>
                <w:sz w:val="15"/>
                <w:szCs w:val="15"/>
                <w:color w:val="auto"/>
              </w:rPr>
              <w:t>Interest and other expenses</w:t>
            </w:r>
          </w:p>
        </w:tc>
        <w:tc>
          <w:tcPr>
            <w:tcW w:w="480" w:type="dxa"/>
            <w:vAlign w:val="bottom"/>
          </w:tcPr>
          <w:p>
            <w:pPr>
              <w:spacing w:after="0"/>
              <w:rPr>
                <w:sz w:val="24"/>
                <w:szCs w:val="24"/>
                <w:color w:val="auto"/>
              </w:rPr>
            </w:pP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600,599</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43,772</w:t>
            </w:r>
          </w:p>
        </w:tc>
        <w:tc>
          <w:tcPr>
            <w:tcW w:w="0" w:type="dxa"/>
            <w:vAlign w:val="bottom"/>
          </w:tcPr>
          <w:p>
            <w:pPr>
              <w:spacing w:after="0"/>
              <w:rPr>
                <w:sz w:val="1"/>
                <w:szCs w:val="1"/>
                <w:color w:val="auto"/>
              </w:rPr>
            </w:pPr>
          </w:p>
        </w:tc>
      </w:tr>
      <w:tr>
        <w:trPr>
          <w:trHeight w:val="673"/>
        </w:trPr>
        <w:tc>
          <w:tcPr>
            <w:tcW w:w="4780" w:type="dxa"/>
            <w:vAlign w:val="bottom"/>
            <w:vMerge w:val="restart"/>
          </w:tcPr>
          <w:p>
            <w:pPr>
              <w:ind w:left="880"/>
              <w:spacing w:after="0"/>
              <w:rPr>
                <w:sz w:val="20"/>
                <w:szCs w:val="20"/>
                <w:color w:val="auto"/>
              </w:rPr>
            </w:pPr>
            <w:r>
              <w:rPr>
                <w:rFonts w:ascii="Courier New" w:cs="Courier New" w:eastAsia="Courier New" w:hAnsi="Courier New"/>
                <w:sz w:val="15"/>
                <w:szCs w:val="15"/>
                <w:color w:val="auto"/>
              </w:rPr>
              <w:t>Income (loss) before income</w:t>
            </w:r>
          </w:p>
        </w:tc>
        <w:tc>
          <w:tcPr>
            <w:tcW w:w="17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478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2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(1,757,499)</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(4,024,065)</w:t>
            </w:r>
          </w:p>
        </w:tc>
        <w:tc>
          <w:tcPr>
            <w:tcW w:w="0" w:type="dxa"/>
            <w:vAlign w:val="bottom"/>
          </w:tcPr>
          <w:p>
            <w:pPr>
              <w:spacing w:after="0"/>
              <w:rPr>
                <w:sz w:val="1"/>
                <w:szCs w:val="1"/>
                <w:color w:val="auto"/>
              </w:rPr>
            </w:pPr>
          </w:p>
        </w:tc>
      </w:tr>
      <w:tr>
        <w:trPr>
          <w:trHeight w:val="245"/>
        </w:trPr>
        <w:tc>
          <w:tcPr>
            <w:tcW w:w="4780" w:type="dxa"/>
            <w:vAlign w:val="bottom"/>
          </w:tcPr>
          <w:p>
            <w:pPr>
              <w:ind w:left="880"/>
              <w:spacing w:after="0"/>
              <w:rPr>
                <w:sz w:val="20"/>
                <w:szCs w:val="20"/>
                <w:color w:val="auto"/>
              </w:rPr>
            </w:pPr>
            <w:r>
              <w:rPr>
                <w:rFonts w:ascii="Courier New" w:cs="Courier New" w:eastAsia="Courier New" w:hAnsi="Courier New"/>
                <w:sz w:val="15"/>
                <w:szCs w:val="15"/>
                <w:color w:val="auto"/>
              </w:rPr>
              <w:t>and foreign withholding taxes</w:t>
            </w:r>
          </w:p>
        </w:tc>
        <w:tc>
          <w:tcPr>
            <w:tcW w:w="48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1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780" w:type="dxa"/>
            <w:vAlign w:val="bottom"/>
          </w:tcPr>
          <w:p>
            <w:pPr>
              <w:spacing w:after="0"/>
              <w:rPr>
                <w:sz w:val="20"/>
                <w:szCs w:val="20"/>
                <w:color w:val="auto"/>
              </w:rPr>
            </w:pPr>
            <w:r>
              <w:rPr>
                <w:rFonts w:ascii="Courier New" w:cs="Courier New" w:eastAsia="Courier New" w:hAnsi="Courier New"/>
                <w:sz w:val="15"/>
                <w:szCs w:val="15"/>
                <w:color w:val="auto"/>
              </w:rPr>
              <w:t>Provision for income and foreign withholding taxes</w:t>
            </w:r>
          </w:p>
        </w:tc>
        <w:tc>
          <w:tcPr>
            <w:tcW w:w="480" w:type="dxa"/>
            <w:vAlign w:val="bottom"/>
          </w:tcPr>
          <w:p>
            <w:pPr>
              <w:spacing w:after="0"/>
              <w:rPr>
                <w:sz w:val="22"/>
                <w:szCs w:val="22"/>
                <w:color w:val="auto"/>
              </w:rPr>
            </w:pP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18,104</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(247,610)</w:t>
            </w:r>
          </w:p>
        </w:tc>
        <w:tc>
          <w:tcPr>
            <w:tcW w:w="0" w:type="dxa"/>
            <w:vAlign w:val="bottom"/>
          </w:tcPr>
          <w:p>
            <w:pPr>
              <w:spacing w:after="0"/>
              <w:rPr>
                <w:sz w:val="1"/>
                <w:szCs w:val="1"/>
                <w:color w:val="auto"/>
              </w:rPr>
            </w:pPr>
          </w:p>
        </w:tc>
      </w:tr>
      <w:tr>
        <w:trPr>
          <w:trHeight w:val="245"/>
        </w:trPr>
        <w:tc>
          <w:tcPr>
            <w:tcW w:w="4780" w:type="dxa"/>
            <w:vAlign w:val="bottom"/>
          </w:tcPr>
          <w:p>
            <w:pPr>
              <w:spacing w:after="0"/>
              <w:rPr>
                <w:sz w:val="21"/>
                <w:szCs w:val="21"/>
                <w:color w:val="auto"/>
              </w:rPr>
            </w:pPr>
          </w:p>
        </w:tc>
        <w:tc>
          <w:tcPr>
            <w:tcW w:w="17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780" w:type="dxa"/>
            <w:vAlign w:val="bottom"/>
          </w:tcPr>
          <w:p>
            <w:pPr>
              <w:ind w:left="880"/>
              <w:spacing w:after="0"/>
              <w:rPr>
                <w:sz w:val="20"/>
                <w:szCs w:val="20"/>
                <w:color w:val="auto"/>
              </w:rPr>
            </w:pPr>
            <w:r>
              <w:rPr>
                <w:rFonts w:ascii="Courier New" w:cs="Courier New" w:eastAsia="Courier New" w:hAnsi="Courier New"/>
                <w:sz w:val="15"/>
                <w:szCs w:val="15"/>
                <w:color w:val="auto"/>
              </w:rPr>
              <w:t>Net income (loss)</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(1,775,603)</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 (3,776,455)</w:t>
            </w:r>
          </w:p>
        </w:tc>
        <w:tc>
          <w:tcPr>
            <w:tcW w:w="0" w:type="dxa"/>
            <w:vAlign w:val="bottom"/>
          </w:tcPr>
          <w:p>
            <w:pPr>
              <w:spacing w:after="0"/>
              <w:rPr>
                <w:sz w:val="1"/>
                <w:szCs w:val="1"/>
                <w:color w:val="auto"/>
              </w:rPr>
            </w:pPr>
          </w:p>
        </w:tc>
      </w:tr>
      <w:tr>
        <w:trPr>
          <w:trHeight w:val="245"/>
        </w:trPr>
        <w:tc>
          <w:tcPr>
            <w:tcW w:w="4780" w:type="dxa"/>
            <w:vAlign w:val="bottom"/>
          </w:tcPr>
          <w:p>
            <w:pPr>
              <w:spacing w:after="0"/>
              <w:rPr>
                <w:sz w:val="21"/>
                <w:szCs w:val="21"/>
                <w:color w:val="auto"/>
              </w:rPr>
            </w:pPr>
          </w:p>
        </w:tc>
        <w:tc>
          <w:tcPr>
            <w:tcW w:w="17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loss per share</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Weighted average shares outstanding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Pro Forma</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tbl>
      <w:tblPr>
        <w:tblLayout w:type="fixed"/>
        <w:tblInd w:w="0" w:type="dxa"/>
        <w:tblCellMar>
          <w:top w:w="0" w:type="dxa"/>
          <w:left w:w="0" w:type="dxa"/>
          <w:bottom w:w="0" w:type="dxa"/>
          <w:right w:w="0" w:type="dxa"/>
        </w:tblCellMar>
      </w:tblPr>
      <w:tr>
        <w:trPr>
          <w:trHeight w:val="142"/>
        </w:trPr>
        <w:tc>
          <w:tcPr>
            <w:tcW w:w="80" w:type="dxa"/>
            <w:vAlign w:val="bottom"/>
          </w:tcPr>
          <w:p>
            <w:pPr>
              <w:spacing w:after="0"/>
              <w:rPr>
                <w:sz w:val="12"/>
                <w:szCs w:val="12"/>
                <w:color w:val="auto"/>
              </w:rPr>
            </w:pPr>
          </w:p>
        </w:tc>
        <w:tc>
          <w:tcPr>
            <w:tcW w:w="1060" w:type="dxa"/>
            <w:vAlign w:val="bottom"/>
          </w:tcPr>
          <w:p>
            <w:pPr>
              <w:jc w:val="right"/>
              <w:ind w:right="27"/>
              <w:spacing w:after="0" w:line="142" w:lineRule="exact"/>
              <w:rPr>
                <w:sz w:val="20"/>
                <w:szCs w:val="20"/>
                <w:color w:val="auto"/>
              </w:rPr>
            </w:pPr>
            <w:r>
              <w:rPr>
                <w:rFonts w:ascii="Courier New" w:cs="Courier New" w:eastAsia="Courier New" w:hAnsi="Courier New"/>
                <w:sz w:val="15"/>
                <w:szCs w:val="15"/>
                <w:color w:val="auto"/>
                <w:w w:val="94"/>
              </w:rPr>
              <w:t>Adjustments</w:t>
            </w:r>
          </w:p>
        </w:tc>
        <w:tc>
          <w:tcPr>
            <w:tcW w:w="480" w:type="dxa"/>
            <w:vAlign w:val="bottom"/>
          </w:tcPr>
          <w:p>
            <w:pPr>
              <w:spacing w:after="0"/>
              <w:rPr>
                <w:sz w:val="12"/>
                <w:szCs w:val="12"/>
                <w:color w:val="auto"/>
              </w:rPr>
            </w:pPr>
          </w:p>
        </w:tc>
        <w:tc>
          <w:tcPr>
            <w:tcW w:w="1360" w:type="dxa"/>
            <w:vAlign w:val="bottom"/>
            <w:gridSpan w:val="2"/>
          </w:tcPr>
          <w:p>
            <w:pPr>
              <w:ind w:left="220"/>
              <w:spacing w:after="0" w:line="142" w:lineRule="exact"/>
              <w:rPr>
                <w:sz w:val="20"/>
                <w:szCs w:val="20"/>
                <w:color w:val="auto"/>
              </w:rPr>
            </w:pPr>
            <w:r>
              <w:rPr>
                <w:rFonts w:ascii="Courier New" w:cs="Courier New" w:eastAsia="Courier New" w:hAnsi="Courier New"/>
                <w:sz w:val="15"/>
                <w:szCs w:val="15"/>
                <w:color w:val="auto"/>
              </w:rPr>
              <w:t>As Adjusted</w:t>
            </w:r>
          </w:p>
        </w:tc>
        <w:tc>
          <w:tcPr>
            <w:tcW w:w="0" w:type="dxa"/>
            <w:vAlign w:val="bottom"/>
          </w:tcPr>
          <w:p>
            <w:pPr>
              <w:spacing w:after="0"/>
              <w:rPr>
                <w:sz w:val="1"/>
                <w:szCs w:val="1"/>
                <w:color w:val="auto"/>
              </w:rPr>
            </w:pPr>
          </w:p>
        </w:tc>
      </w:tr>
      <w:tr>
        <w:trPr>
          <w:trHeight w:val="245"/>
        </w:trPr>
        <w:tc>
          <w:tcPr>
            <w:tcW w:w="11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4"/>
              </w:rPr>
              <w:t>------------</w:t>
            </w:r>
          </w:p>
        </w:tc>
        <w:tc>
          <w:tcPr>
            <w:tcW w:w="480" w:type="dxa"/>
            <w:vAlign w:val="bottom"/>
          </w:tcPr>
          <w:p>
            <w:pPr>
              <w:spacing w:after="0"/>
              <w:rPr>
                <w:sz w:val="21"/>
                <w:szCs w:val="21"/>
                <w:color w:val="auto"/>
              </w:rPr>
            </w:pPr>
          </w:p>
        </w:tc>
        <w:tc>
          <w:tcPr>
            <w:tcW w:w="13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$ 15,561,191</w:t>
            </w:r>
          </w:p>
        </w:tc>
        <w:tc>
          <w:tcPr>
            <w:tcW w:w="0" w:type="dxa"/>
            <w:vAlign w:val="bottom"/>
          </w:tcPr>
          <w:p>
            <w:pPr>
              <w:spacing w:after="0"/>
              <w:rPr>
                <w:sz w:val="1"/>
                <w:szCs w:val="1"/>
                <w:color w:val="auto"/>
              </w:rPr>
            </w:pPr>
          </w:p>
        </w:tc>
      </w:tr>
      <w:tr>
        <w:trPr>
          <w:trHeight w:val="259"/>
        </w:trPr>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3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$ 11,428,120</w:t>
            </w:r>
          </w:p>
        </w:tc>
        <w:tc>
          <w:tcPr>
            <w:tcW w:w="0" w:type="dxa"/>
            <w:vAlign w:val="bottom"/>
          </w:tcPr>
          <w:p>
            <w:pPr>
              <w:spacing w:after="0"/>
              <w:rPr>
                <w:sz w:val="1"/>
                <w:szCs w:val="1"/>
                <w:color w:val="auto"/>
              </w:rPr>
            </w:pPr>
          </w:p>
        </w:tc>
      </w:tr>
      <w:tr>
        <w:trPr>
          <w:trHeight w:val="245"/>
        </w:trPr>
        <w:tc>
          <w:tcPr>
            <w:tcW w:w="11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4"/>
              </w:rPr>
              <w:t>------------</w:t>
            </w:r>
          </w:p>
        </w:tc>
        <w:tc>
          <w:tcPr>
            <w:tcW w:w="480" w:type="dxa"/>
            <w:vAlign w:val="bottom"/>
          </w:tcPr>
          <w:p>
            <w:pPr>
              <w:spacing w:after="0"/>
              <w:rPr>
                <w:sz w:val="21"/>
                <w:szCs w:val="21"/>
                <w:color w:val="auto"/>
              </w:rPr>
            </w:pPr>
          </w:p>
        </w:tc>
        <w:tc>
          <w:tcPr>
            <w:tcW w:w="13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4,133,071</w:t>
            </w:r>
          </w:p>
        </w:tc>
        <w:tc>
          <w:tcPr>
            <w:tcW w:w="0" w:type="dxa"/>
            <w:vAlign w:val="bottom"/>
          </w:tcPr>
          <w:p>
            <w:pPr>
              <w:spacing w:after="0"/>
              <w:rPr>
                <w:sz w:val="1"/>
                <w:szCs w:val="1"/>
                <w:color w:val="auto"/>
              </w:rPr>
            </w:pPr>
          </w:p>
        </w:tc>
      </w:tr>
      <w:tr>
        <w:trPr>
          <w:trHeight w:val="427"/>
        </w:trPr>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890,003</w:t>
            </w: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3,470,871</w:t>
            </w:r>
          </w:p>
        </w:tc>
        <w:tc>
          <w:tcPr>
            <w:tcW w:w="0" w:type="dxa"/>
            <w:vAlign w:val="bottom"/>
          </w:tcPr>
          <w:p>
            <w:pPr>
              <w:spacing w:after="0"/>
              <w:rPr>
                <w:sz w:val="1"/>
                <w:szCs w:val="1"/>
                <w:color w:val="auto"/>
              </w:rPr>
            </w:pPr>
          </w:p>
        </w:tc>
      </w:tr>
      <w:tr>
        <w:trPr>
          <w:trHeight w:val="168"/>
        </w:trPr>
        <w:tc>
          <w:tcPr>
            <w:tcW w:w="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283,024</w:t>
            </w:r>
          </w:p>
        </w:tc>
        <w:tc>
          <w:tcPr>
            <w:tcW w:w="4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w w:val="88"/>
              </w:rPr>
              <w:t>(3)</w:t>
            </w:r>
          </w:p>
        </w:tc>
        <w:tc>
          <w:tcPr>
            <w:tcW w:w="34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4,356,191</w:t>
            </w:r>
          </w:p>
        </w:tc>
        <w:tc>
          <w:tcPr>
            <w:tcW w:w="0" w:type="dxa"/>
            <w:vAlign w:val="bottom"/>
          </w:tcPr>
          <w:p>
            <w:pPr>
              <w:spacing w:after="0"/>
              <w:rPr>
                <w:sz w:val="1"/>
                <w:szCs w:val="1"/>
                <w:color w:val="auto"/>
              </w:rPr>
            </w:pPr>
          </w:p>
        </w:tc>
      </w:tr>
      <w:tr>
        <w:trPr>
          <w:trHeight w:val="168"/>
        </w:trPr>
        <w:tc>
          <w:tcPr>
            <w:tcW w:w="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836,223</w:t>
            </w:r>
          </w:p>
        </w:tc>
        <w:tc>
          <w:tcPr>
            <w:tcW w:w="0" w:type="dxa"/>
            <w:vAlign w:val="bottom"/>
          </w:tcPr>
          <w:p>
            <w:pPr>
              <w:spacing w:after="0"/>
              <w:rPr>
                <w:sz w:val="1"/>
                <w:szCs w:val="1"/>
                <w:color w:val="auto"/>
              </w:rPr>
            </w:pPr>
          </w:p>
        </w:tc>
      </w:tr>
      <w:tr>
        <w:trPr>
          <w:trHeight w:val="168"/>
        </w:trPr>
        <w:tc>
          <w:tcPr>
            <w:tcW w:w="80" w:type="dxa"/>
            <w:vAlign w:val="bottom"/>
          </w:tcPr>
          <w:p>
            <w:pPr>
              <w:jc w:val="right"/>
              <w:spacing w:after="0"/>
              <w:rPr>
                <w:sz w:val="20"/>
                <w:szCs w:val="20"/>
                <w:color w:val="auto"/>
              </w:rPr>
            </w:pPr>
            <w:r>
              <w:rPr>
                <w:rFonts w:ascii="Courier New" w:cs="Courier New" w:eastAsia="Courier New" w:hAnsi="Courier New"/>
                <w:sz w:val="1"/>
                <w:szCs w:val="1"/>
                <w:color w:val="auto"/>
                <w:w w:val="82"/>
              </w:rPr>
              <w:t>------------</w:t>
            </w:r>
          </w:p>
        </w:tc>
        <w:tc>
          <w:tcPr>
            <w:tcW w:w="10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283,024</w:t>
            </w:r>
          </w:p>
        </w:tc>
        <w:tc>
          <w:tcPr>
            <w:tcW w:w="480" w:type="dxa"/>
            <w:vAlign w:val="bottom"/>
          </w:tcPr>
          <w:p>
            <w:pPr>
              <w:spacing w:after="0"/>
              <w:rPr>
                <w:sz w:val="14"/>
                <w:szCs w:val="14"/>
                <w:color w:val="auto"/>
              </w:rPr>
            </w:pP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9,553,288</w:t>
            </w:r>
          </w:p>
        </w:tc>
        <w:tc>
          <w:tcPr>
            <w:tcW w:w="0" w:type="dxa"/>
            <w:vAlign w:val="bottom"/>
          </w:tcPr>
          <w:p>
            <w:pPr>
              <w:spacing w:after="0"/>
              <w:rPr>
                <w:sz w:val="1"/>
                <w:szCs w:val="1"/>
                <w:color w:val="auto"/>
              </w:rPr>
            </w:pPr>
          </w:p>
        </w:tc>
      </w:tr>
      <w:tr>
        <w:trPr>
          <w:trHeight w:val="245"/>
        </w:trPr>
        <w:tc>
          <w:tcPr>
            <w:tcW w:w="11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4"/>
              </w:rPr>
              <w:t>------------</w:t>
            </w:r>
          </w:p>
        </w:tc>
        <w:tc>
          <w:tcPr>
            <w:tcW w:w="480" w:type="dxa"/>
            <w:vAlign w:val="bottom"/>
          </w:tcPr>
          <w:p>
            <w:pPr>
              <w:spacing w:after="0"/>
              <w:rPr>
                <w:sz w:val="21"/>
                <w:szCs w:val="21"/>
                <w:color w:val="auto"/>
              </w:rPr>
            </w:pPr>
          </w:p>
        </w:tc>
        <w:tc>
          <w:tcPr>
            <w:tcW w:w="13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(283,024)</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(5,420,217)</w:t>
            </w:r>
          </w:p>
        </w:tc>
        <w:tc>
          <w:tcPr>
            <w:tcW w:w="0" w:type="dxa"/>
            <w:vAlign w:val="bottom"/>
          </w:tcPr>
          <w:p>
            <w:pPr>
              <w:spacing w:after="0"/>
              <w:rPr>
                <w:sz w:val="1"/>
                <w:szCs w:val="1"/>
                <w:color w:val="auto"/>
              </w:rPr>
            </w:pPr>
          </w:p>
        </w:tc>
      </w:tr>
      <w:tr>
        <w:trPr>
          <w:trHeight w:val="427"/>
        </w:trPr>
        <w:tc>
          <w:tcPr>
            <w:tcW w:w="80" w:type="dxa"/>
            <w:vAlign w:val="bottom"/>
          </w:tcPr>
          <w:p>
            <w:pPr>
              <w:spacing w:after="0"/>
              <w:rPr>
                <w:sz w:val="24"/>
                <w:szCs w:val="24"/>
                <w:color w:val="auto"/>
              </w:rPr>
            </w:pPr>
          </w:p>
        </w:tc>
        <w:tc>
          <w:tcPr>
            <w:tcW w:w="15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(6,012)(4)</w:t>
            </w:r>
          </w:p>
        </w:tc>
        <w:tc>
          <w:tcPr>
            <w:tcW w:w="340" w:type="dxa"/>
            <w:vAlign w:val="bottom"/>
          </w:tcPr>
          <w:p>
            <w:pPr>
              <w:spacing w:after="0"/>
              <w:rPr>
                <w:sz w:val="24"/>
                <w:szCs w:val="2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77,696</w:t>
            </w: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15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(184,626)(5)</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15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(391,037)(6)</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15,000</w:t>
            </w:r>
          </w:p>
        </w:tc>
        <w:tc>
          <w:tcPr>
            <w:tcW w:w="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88"/>
              </w:rPr>
              <w:t>(7)</w:t>
            </w:r>
          </w:p>
        </w:tc>
        <w:tc>
          <w:tcPr>
            <w:tcW w:w="1360" w:type="dxa"/>
            <w:vAlign w:val="bottom"/>
            <w:gridSpan w:val="2"/>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11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4"/>
              </w:rPr>
              <w:t>------------</w:t>
            </w:r>
          </w:p>
        </w:tc>
        <w:tc>
          <w:tcPr>
            <w:tcW w:w="480" w:type="dxa"/>
            <w:vAlign w:val="bottom"/>
          </w:tcPr>
          <w:p>
            <w:pPr>
              <w:spacing w:after="0"/>
              <w:rPr>
                <w:sz w:val="21"/>
                <w:szCs w:val="21"/>
                <w:color w:val="auto"/>
              </w:rPr>
            </w:pPr>
          </w:p>
        </w:tc>
        <w:tc>
          <w:tcPr>
            <w:tcW w:w="13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80" w:type="dxa"/>
            <w:vAlign w:val="bottom"/>
          </w:tcPr>
          <w:p>
            <w:pPr>
              <w:spacing w:after="0"/>
              <w:rPr>
                <w:sz w:val="24"/>
                <w:szCs w:val="2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283,651</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(5,497,913)</w:t>
            </w:r>
          </w:p>
        </w:tc>
        <w:tc>
          <w:tcPr>
            <w:tcW w:w="0" w:type="dxa"/>
            <w:vAlign w:val="bottom"/>
          </w:tcPr>
          <w:p>
            <w:pPr>
              <w:spacing w:after="0"/>
              <w:rPr>
                <w:sz w:val="1"/>
                <w:szCs w:val="1"/>
                <w:color w:val="auto"/>
              </w:rPr>
            </w:pPr>
          </w:p>
        </w:tc>
      </w:tr>
      <w:tr>
        <w:trPr>
          <w:trHeight w:val="259"/>
        </w:trPr>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(229,506)</w:t>
            </w:r>
          </w:p>
        </w:tc>
        <w:tc>
          <w:tcPr>
            <w:tcW w:w="0" w:type="dxa"/>
            <w:vAlign w:val="bottom"/>
          </w:tcPr>
          <w:p>
            <w:pPr>
              <w:spacing w:after="0"/>
              <w:rPr>
                <w:sz w:val="1"/>
                <w:szCs w:val="1"/>
                <w:color w:val="auto"/>
              </w:rPr>
            </w:pPr>
          </w:p>
        </w:tc>
      </w:tr>
      <w:tr>
        <w:trPr>
          <w:trHeight w:val="245"/>
        </w:trPr>
        <w:tc>
          <w:tcPr>
            <w:tcW w:w="11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4"/>
              </w:rPr>
              <w:t>------------</w:t>
            </w:r>
          </w:p>
        </w:tc>
        <w:tc>
          <w:tcPr>
            <w:tcW w:w="480" w:type="dxa"/>
            <w:vAlign w:val="bottom"/>
          </w:tcPr>
          <w:p>
            <w:pPr>
              <w:spacing w:after="0"/>
              <w:rPr>
                <w:sz w:val="21"/>
                <w:szCs w:val="21"/>
                <w:color w:val="auto"/>
              </w:rPr>
            </w:pPr>
          </w:p>
        </w:tc>
        <w:tc>
          <w:tcPr>
            <w:tcW w:w="13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283,651</w:t>
            </w:r>
          </w:p>
        </w:tc>
        <w:tc>
          <w:tcPr>
            <w:tcW w:w="480" w:type="dxa"/>
            <w:vAlign w:val="bottom"/>
          </w:tcPr>
          <w:p>
            <w:pPr>
              <w:spacing w:after="0"/>
              <w:rPr>
                <w:sz w:val="22"/>
                <w:szCs w:val="22"/>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(5,268,407)</w:t>
            </w:r>
          </w:p>
        </w:tc>
        <w:tc>
          <w:tcPr>
            <w:tcW w:w="0" w:type="dxa"/>
            <w:vAlign w:val="bottom"/>
          </w:tcPr>
          <w:p>
            <w:pPr>
              <w:spacing w:after="0"/>
              <w:rPr>
                <w:sz w:val="1"/>
                <w:szCs w:val="1"/>
                <w:color w:val="auto"/>
              </w:rPr>
            </w:pPr>
          </w:p>
        </w:tc>
      </w:tr>
      <w:tr>
        <w:trPr>
          <w:trHeight w:val="245"/>
        </w:trPr>
        <w:tc>
          <w:tcPr>
            <w:tcW w:w="11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4"/>
              </w:rPr>
              <w:t>============</w:t>
            </w:r>
          </w:p>
        </w:tc>
        <w:tc>
          <w:tcPr>
            <w:tcW w:w="480" w:type="dxa"/>
            <w:vAlign w:val="bottom"/>
          </w:tcPr>
          <w:p>
            <w:pPr>
              <w:spacing w:after="0"/>
              <w:rPr>
                <w:sz w:val="21"/>
                <w:szCs w:val="21"/>
                <w:color w:val="auto"/>
              </w:rPr>
            </w:pPr>
          </w:p>
        </w:tc>
        <w:tc>
          <w:tcPr>
            <w:tcW w:w="13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(0.63)</w:t>
            </w:r>
          </w:p>
        </w:tc>
        <w:tc>
          <w:tcPr>
            <w:tcW w:w="0" w:type="dxa"/>
            <w:vAlign w:val="bottom"/>
          </w:tcPr>
          <w:p>
            <w:pPr>
              <w:spacing w:after="0"/>
              <w:rPr>
                <w:sz w:val="1"/>
                <w:szCs w:val="1"/>
                <w:color w:val="auto"/>
              </w:rPr>
            </w:pPr>
          </w:p>
        </w:tc>
      </w:tr>
      <w:tr>
        <w:trPr>
          <w:trHeight w:val="245"/>
        </w:trPr>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88"/>
              </w:rPr>
              <w:t>(8)</w:t>
            </w:r>
          </w:p>
        </w:tc>
        <w:tc>
          <w:tcPr>
            <w:tcW w:w="340" w:type="dxa"/>
            <w:vAlign w:val="bottom"/>
          </w:tcPr>
          <w:p>
            <w:pPr>
              <w:spacing w:after="0"/>
              <w:rPr>
                <w:sz w:val="22"/>
                <w:szCs w:val="22"/>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8,401,612</w:t>
            </w:r>
          </w:p>
        </w:tc>
        <w:tc>
          <w:tcPr>
            <w:tcW w:w="0" w:type="dxa"/>
            <w:vAlign w:val="bottom"/>
          </w:tcPr>
          <w:p>
            <w:pPr>
              <w:spacing w:after="0"/>
              <w:rPr>
                <w:sz w:val="1"/>
                <w:szCs w:val="1"/>
                <w:color w:val="auto"/>
              </w:rPr>
            </w:pPr>
          </w:p>
        </w:tc>
      </w:tr>
      <w:tr>
        <w:trPr>
          <w:trHeight w:val="245"/>
        </w:trPr>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ectPr>
          <w:pgSz w:w="11900" w:h="16838" w:orient="portrait"/>
          <w:cols w:equalWidth="0" w:num="2">
            <w:col w:w="7880" w:space="440"/>
            <w:col w:w="2980"/>
          </w:cols>
          <w:pgMar w:left="220" w:top="766" w:right="379" w:bottom="1440" w:gutter="0" w:footer="0" w:header="0"/>
        </w:sectPr>
      </w:pPr>
    </w:p>
    <w:bookmarkStart w:id="27" w:name="page28"/>
    <w:bookmarkEnd w:id="27"/>
    <w:p>
      <w:pPr>
        <w:jc w:val="center"/>
        <w:ind w:right="3239"/>
        <w:spacing w:after="0"/>
        <w:rPr>
          <w:sz w:val="20"/>
          <w:szCs w:val="20"/>
          <w:color w:val="auto"/>
        </w:rPr>
      </w:pPr>
      <w:r>
        <w:rPr>
          <w:rFonts w:ascii="Courier New" w:cs="Courier New" w:eastAsia="Courier New" w:hAnsi="Courier New"/>
          <w:sz w:val="15"/>
          <w:szCs w:val="15"/>
          <w:color w:val="auto"/>
        </w:rPr>
        <w:t>Notes to Unaudited Pro Forma Consolidated Financial Statements</w:t>
      </w:r>
    </w:p>
    <w:p>
      <w:pPr>
        <w:spacing w:after="0" w:line="24"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for the nine months ended 7/31/97</w:t>
      </w:r>
    </w:p>
    <w:p>
      <w:pPr>
        <w:spacing w:after="0" w:line="200" w:lineRule="exact"/>
        <w:rPr>
          <w:sz w:val="20"/>
          <w:szCs w:val="20"/>
          <w:color w:val="auto"/>
        </w:rPr>
      </w:pPr>
    </w:p>
    <w:p>
      <w:pPr>
        <w:spacing w:after="0" w:line="277" w:lineRule="exact"/>
        <w:rPr>
          <w:sz w:val="20"/>
          <w:szCs w:val="20"/>
          <w:color w:val="auto"/>
        </w:rPr>
      </w:pPr>
    </w:p>
    <w:p>
      <w:pPr>
        <w:ind w:left="440" w:right="3319" w:hanging="430"/>
        <w:spacing w:after="0" w:line="320" w:lineRule="auto"/>
        <w:tabs>
          <w:tab w:leader="none" w:pos="4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the unaudited historical financial statements for the nine months ended July 31, 1997, which includes the operations of Take-Two, Mission, IMSI, CAG and GameTek from July 29, 1997, the date of its acquisition.</w:t>
      </w:r>
    </w:p>
    <w:p>
      <w:pPr>
        <w:spacing w:after="0" w:line="38" w:lineRule="exact"/>
        <w:rPr>
          <w:rFonts w:ascii="Courier New" w:cs="Courier New" w:eastAsia="Courier New" w:hAnsi="Courier New"/>
          <w:sz w:val="14"/>
          <w:szCs w:val="14"/>
          <w:color w:val="auto"/>
        </w:rPr>
      </w:pPr>
    </w:p>
    <w:p>
      <w:pPr>
        <w:ind w:left="440" w:right="3239" w:hanging="430"/>
        <w:spacing w:after="0" w:line="344" w:lineRule="auto"/>
        <w:tabs>
          <w:tab w:leader="none" w:pos="4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GameTek's unaudited historical financial statements for the period from November 1, 1996 to July 28, 1997.</w:t>
      </w:r>
    </w:p>
    <w:p>
      <w:pPr>
        <w:spacing w:after="0" w:line="17" w:lineRule="exact"/>
        <w:rPr>
          <w:rFonts w:ascii="Courier New" w:cs="Courier New" w:eastAsia="Courier New" w:hAnsi="Courier New"/>
          <w:sz w:val="15"/>
          <w:szCs w:val="15"/>
          <w:color w:val="auto"/>
        </w:rPr>
      </w:pPr>
    </w:p>
    <w:p>
      <w:pPr>
        <w:ind w:left="440" w:right="3319" w:hanging="430"/>
        <w:spacing w:after="0" w:line="273" w:lineRule="auto"/>
        <w:tabs>
          <w:tab w:leader="none" w:pos="4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adjustment of $283,024, which represents the amortization of the intangible assets acquired in connection with the GameTek acquisition. The acquired intangible asset is being amortized over the estimated useful life of 10 years.</w:t>
      </w:r>
    </w:p>
    <w:p>
      <w:pPr>
        <w:spacing w:after="0" w:line="67" w:lineRule="exact"/>
        <w:rPr>
          <w:rFonts w:ascii="Courier New" w:cs="Courier New" w:eastAsia="Courier New" w:hAnsi="Courier New"/>
          <w:sz w:val="15"/>
          <w:szCs w:val="15"/>
          <w:color w:val="auto"/>
        </w:rPr>
      </w:pPr>
    </w:p>
    <w:p>
      <w:pPr>
        <w:ind w:left="440" w:right="3319" w:hanging="430"/>
        <w:spacing w:after="0" w:line="264" w:lineRule="auto"/>
        <w:tabs>
          <w:tab w:leader="none" w:pos="4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reduction of interest expense incurred in connection with the $337,500 promissory note, bearing interest at an effective rate of 10.25% per annum, issued in connection with the Mission acquisition which has already been incurred in the unaudited pro forma consolidated income statement for the year ended October 31, 1996.</w:t>
      </w:r>
    </w:p>
    <w:p>
      <w:pPr>
        <w:spacing w:after="0" w:line="74" w:lineRule="exact"/>
        <w:rPr>
          <w:rFonts w:ascii="Courier New" w:cs="Courier New" w:eastAsia="Courier New" w:hAnsi="Courier New"/>
          <w:sz w:val="15"/>
          <w:szCs w:val="15"/>
          <w:color w:val="auto"/>
        </w:rPr>
      </w:pPr>
    </w:p>
    <w:p>
      <w:pPr>
        <w:ind w:left="440" w:right="3319" w:hanging="430"/>
        <w:spacing w:after="0" w:line="258" w:lineRule="auto"/>
        <w:tabs>
          <w:tab w:leader="none" w:pos="4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reduction of interest expense incurred in connection with the 1996 private placement of debt securities, bearing interest at 10.25% per annum for the short-term portion of the notes and 14.0% per annum for the long-term portion of the notes which has already been incurred in the unaudited pro forma consolidated income statement for the year ended October 31, 1996.</w:t>
      </w:r>
    </w:p>
    <w:p>
      <w:pPr>
        <w:spacing w:after="0" w:line="81" w:lineRule="exact"/>
        <w:rPr>
          <w:rFonts w:ascii="Courier New" w:cs="Courier New" w:eastAsia="Courier New" w:hAnsi="Courier New"/>
          <w:sz w:val="15"/>
          <w:szCs w:val="15"/>
          <w:color w:val="auto"/>
        </w:rPr>
      </w:pPr>
    </w:p>
    <w:p>
      <w:pPr>
        <w:ind w:left="440" w:right="3239" w:hanging="430"/>
        <w:spacing w:after="0" w:line="264" w:lineRule="auto"/>
        <w:tabs>
          <w:tab w:leader="none" w:pos="4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reduction of interest expense as a result of the amortization of the discount attributable to the issuance of warrants in connection with the 1996 private placement of debt securities which has already been incurred in the unaudited pro forma consolidated income statement for the year ended October 31, 1996.</w:t>
      </w:r>
    </w:p>
    <w:p>
      <w:pPr>
        <w:spacing w:after="0" w:line="74" w:lineRule="exact"/>
        <w:rPr>
          <w:rFonts w:ascii="Courier New" w:cs="Courier New" w:eastAsia="Courier New" w:hAnsi="Courier New"/>
          <w:sz w:val="15"/>
          <w:szCs w:val="15"/>
          <w:color w:val="auto"/>
        </w:rPr>
      </w:pPr>
    </w:p>
    <w:p>
      <w:pPr>
        <w:ind w:left="440" w:right="3579" w:hanging="430"/>
        <w:spacing w:after="0" w:line="290" w:lineRule="auto"/>
        <w:tabs>
          <w:tab w:leader="none" w:pos="4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interest expense incurred on the unpaid principal amount of a $500,000 promissory note, bearing interest at 8.0% per annum, issued in connection with the GameTek acquisition.</w:t>
      </w:r>
    </w:p>
    <w:p>
      <w:pPr>
        <w:spacing w:after="0" w:line="56" w:lineRule="exact"/>
        <w:rPr>
          <w:rFonts w:ascii="Courier New" w:cs="Courier New" w:eastAsia="Courier New" w:hAnsi="Courier New"/>
          <w:sz w:val="15"/>
          <w:szCs w:val="15"/>
          <w:color w:val="auto"/>
        </w:rPr>
      </w:pPr>
    </w:p>
    <w:p>
      <w:pPr>
        <w:ind w:left="440" w:right="3239" w:hanging="430"/>
        <w:spacing w:after="0" w:line="298" w:lineRule="auto"/>
        <w:tabs>
          <w:tab w:leader="none" w:pos="4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the Company's historical weighted average shares outstanding, plus 750,000 shares issued in connection with the acquisition of IMSI, plus 150,000 shares issued in connection with the acquisition of CAG, plus 406,553 shares issued in connection with the acquisition of GameTek.</w:t>
      </w:r>
    </w:p>
    <w:p>
      <w:pPr>
        <w:sectPr>
          <w:pgSz w:w="11900" w:h="16838" w:orient="portrait"/>
          <w:cols w:equalWidth="0" w:num="1">
            <w:col w:w="10239"/>
          </w:cols>
          <w:pgMar w:left="220" w:top="766" w:right="1440" w:bottom="1440" w:gutter="0" w:footer="0" w:header="0"/>
        </w:sectPr>
      </w:pPr>
    </w:p>
    <w:bookmarkStart w:id="28" w:name="page29"/>
    <w:bookmarkEnd w:id="28"/>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200" w:lineRule="exact"/>
        <w:rPr>
          <w:sz w:val="20"/>
          <w:szCs w:val="20"/>
          <w:color w:val="auto"/>
        </w:rPr>
      </w:pPr>
    </w:p>
    <w:p>
      <w:pPr>
        <w:spacing w:after="0" w:line="303" w:lineRule="exact"/>
        <w:rPr>
          <w:sz w:val="20"/>
          <w:szCs w:val="20"/>
          <w:color w:val="auto"/>
        </w:rPr>
      </w:pPr>
    </w:p>
    <w:p>
      <w:pPr>
        <w:ind w:right="3499" w:firstLine="437"/>
        <w:spacing w:after="0" w:line="290"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amendment to be signed on its behalf by the undersigned thereunto duly authorized.</w:t>
      </w: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October __, 1997</w:t>
      </w:r>
    </w:p>
    <w:p>
      <w:pPr>
        <w:spacing w:after="0" w:line="166"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5"/>
          <w:szCs w:val="15"/>
          <w:color w:val="auto"/>
        </w:rPr>
        <w:t>TAKE-TWO INTERACTIVE SOFTWARE, INC.</w:t>
      </w:r>
    </w:p>
    <w:p>
      <w:pPr>
        <w:spacing w:after="0" w:line="200" w:lineRule="exact"/>
        <w:rPr>
          <w:sz w:val="20"/>
          <w:szCs w:val="20"/>
          <w:color w:val="auto"/>
        </w:rPr>
      </w:pPr>
    </w:p>
    <w:p>
      <w:pPr>
        <w:spacing w:after="0" w:line="30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 /s/ Ryan A. Brant</w:t>
      </w:r>
    </w:p>
    <w:p>
      <w:pPr>
        <w:spacing w:after="0" w:line="2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w:t>
      </w:r>
    </w:p>
    <w:p>
      <w:pPr>
        <w:ind w:left="3680"/>
        <w:spacing w:after="0" w:line="237" w:lineRule="auto"/>
        <w:tabs>
          <w:tab w:leader="none" w:pos="4280" w:val="left"/>
        </w:tabs>
        <w:rPr>
          <w:sz w:val="20"/>
          <w:szCs w:val="20"/>
          <w:color w:val="auto"/>
        </w:rPr>
      </w:pPr>
      <w:r>
        <w:rPr>
          <w:rFonts w:ascii="Courier New" w:cs="Courier New" w:eastAsia="Courier New" w:hAnsi="Courier New"/>
          <w:sz w:val="15"/>
          <w:szCs w:val="15"/>
          <w:color w:val="auto"/>
        </w:rPr>
        <w:t>Name:</w:t>
        <w:tab/>
        <w:t>Ryan A. Brant</w:t>
      </w:r>
    </w:p>
    <w:p>
      <w:pPr>
        <w:ind w:left="3680"/>
        <w:spacing w:after="0"/>
        <w:rPr>
          <w:sz w:val="20"/>
          <w:szCs w:val="20"/>
          <w:color w:val="auto"/>
        </w:rPr>
      </w:pPr>
      <w:r>
        <w:rPr>
          <w:rFonts w:ascii="Courier New" w:cs="Courier New" w:eastAsia="Courier New" w:hAnsi="Courier New"/>
          <w:sz w:val="15"/>
          <w:szCs w:val="15"/>
          <w:color w:val="auto"/>
        </w:rPr>
        <w:t>Title: Chairman</w:t>
      </w:r>
    </w:p>
    <w:sectPr>
      <w:pgSz w:w="11900" w:h="16838" w:orient="portrait"/>
      <w:cols w:equalWidth="0" w:num="1">
        <w:col w:w="10239"/>
      </w:cols>
      <w:pgMar w:left="220" w:top="93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2"/>
    </w:lvl>
    <w:lvl w:ilvl="1">
      <w:lvlJc w:val="left"/>
      <w:lvlText w:val="(%2)"/>
      <w:numFmt w:val="lowerLetter"/>
      <w:start w:val="1"/>
    </w:lvl>
  </w:abstractNum>
  <w:abstractNum w:abstractNumId="3">
    <w:nsid w:val="515F007C"/>
    <w:multiLevelType w:val="hybridMultilevel"/>
    <w:lvl w:ilvl="0">
      <w:lvlJc w:val="left"/>
      <w:lvlText w:val="%1."/>
      <w:numFmt w:val="decimal"/>
      <w:start w:val="3"/>
    </w:lvl>
  </w:abstractNum>
  <w:abstractNum w:abstractNumId="4">
    <w:nsid w:val="5BD062C2"/>
    <w:multiLevelType w:val="hybridMultilevel"/>
    <w:lvl w:ilvl="0">
      <w:lvlJc w:val="left"/>
      <w:lvlText w:val="%1."/>
      <w:numFmt w:val="decimal"/>
      <w:start w:val="4"/>
    </w:lvl>
  </w:abstractNum>
  <w:abstractNum w:abstractNumId="5">
    <w:nsid w:val="12200854"/>
    <w:multiLevelType w:val="hybridMultilevel"/>
    <w:lvl w:ilvl="0">
      <w:lvlJc w:val="left"/>
      <w:lvlText w:val="%1."/>
      <w:numFmt w:val="decimal"/>
      <w:start w:val="6"/>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4"/>
    </w:lvl>
  </w:abstractNum>
  <w:abstractNum w:abstractNumId="8">
    <w:nsid w:val="1F16E9E8"/>
    <w:multiLevelType w:val="hybridMultilevel"/>
    <w:lvl w:ilvl="0">
      <w:lvlJc w:val="left"/>
      <w:lvlText w:val="%1."/>
      <w:numFmt w:val="decimal"/>
      <w:start w:val="5"/>
    </w:lvl>
  </w:abstractNum>
  <w:abstractNum w:abstractNumId="9">
    <w:nsid w:val="1190CDE7"/>
    <w:multiLevelType w:val="hybridMultilevel"/>
    <w:lvl w:ilvl="0">
      <w:lvlJc w:val="left"/>
      <w:lvlText w:val="%1."/>
      <w:numFmt w:val="decimal"/>
      <w:start w:val="6"/>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1)"/>
      <w:numFmt w:val="decimal"/>
      <w:start w:val="8"/>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2019-12-14T05:38:03Z</dcterms:created>
  <dcterms:modified xsi:type="dcterms:W3CDTF">2019-12-14T05:38:03Z</dcterms:modified>
</cp:coreProperties>
</file>