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59.jpeg" ContentType="image/jpeg"/>
  <Override PartName="/word/media/image42.jpeg" ContentType="image/jpeg"/>
  <Override PartName="/word/media/image58.jpeg" ContentType="image/jpeg"/>
  <Override PartName="/word/media/image57.jpeg" ContentType="image/jpeg"/>
  <Override PartName="/word/media/image56.jpeg" ContentType="image/jpeg"/>
  <Override PartName="/word/media/image55.jpeg" ContentType="image/jpeg"/>
  <Override PartName="/word/media/image54.jpeg" ContentType="image/jpeg"/>
  <Override PartName="/word/media/image53.jpeg" ContentType="image/jpeg"/>
  <Override PartName="/word/media/image49.jpeg" ContentType="image/jpeg"/>
  <Override PartName="/word/media/image48.jpeg" ContentType="image/jpeg"/>
  <Override PartName="/word/media/image47.jpeg" ContentType="image/jpeg"/>
  <Override PartName="/word/media/image46.jpeg" ContentType="image/jpeg"/>
  <Override PartName="/word/media/image45.jpeg" ContentType="image/jpeg"/>
  <Override PartName="/word/media/image44.jpeg" ContentType="image/jpeg"/>
  <Override PartName="/word/media/image43.jpeg" ContentType="image/jpeg"/>
  <Override PartName="/word/media/image34.jpeg" ContentType="image/jpeg"/>
  <Override PartName="/word/media/image33.jpeg" ContentType="image/jpeg"/>
  <Override PartName="/word/media/image32.jpeg" ContentType="image/jpeg"/>
  <Override PartName="/word/media/image31.jpeg" ContentType="image/jpeg"/>
  <Override PartName="/word/media/image30.jpeg" ContentType="image/jpeg"/>
  <Override PartName="/word/media/image9.jpeg" ContentType="image/jpeg"/>
  <Override PartName="/word/media/image11.jpeg" ContentType="image/jpeg"/>
  <Override PartName="/word/media/image28.jpeg" ContentType="image/jpeg"/>
  <Override PartName="/word/media/image87.jpeg" ContentType="image/jpeg"/>
  <Override PartName="/word/media/image40.jpeg" ContentType="image/jpeg"/>
  <Override PartName="/word/media/image13.jpeg" ContentType="image/jpeg"/>
  <Override PartName="/word/media/image39.jpeg" ContentType="image/jpeg"/>
  <Override PartName="/word/media/image8.jpeg" ContentType="image/jpeg"/>
  <Override PartName="/word/media/image20.jpeg" ContentType="image/jpeg"/>
  <Override PartName="/word/media/image14.jpeg" ContentType="image/jpeg"/>
  <Override PartName="/word/media/image41.jpeg" ContentType="image/jpeg"/>
  <Override PartName="/word/media/image17.jpeg" ContentType="image/jpeg"/>
  <Override PartName="/word/media/image4.jpeg" ContentType="image/jpeg"/>
  <Override PartName="/word/media/image15.jpeg" ContentType="image/jpeg"/>
  <Override PartName="/word/media/image61.jpeg" ContentType="image/jpeg"/>
  <Override PartName="/word/media/image78.jpeg" ContentType="image/jpeg"/>
  <Override PartName="/word/media/image18.jpeg" ContentType="image/jpeg"/>
  <Override PartName="/word/media/image5.jpeg" ContentType="image/jpeg"/>
  <Override PartName="/word/media/image16.jpeg" ContentType="image/jpeg"/>
  <Override PartName="/word/media/image77.jpeg" ContentType="image/jpeg"/>
  <Override PartName="/word/media/image60.jpeg" ContentType="image/jpeg"/>
  <Override PartName="/word/media/image3.jpeg" ContentType="image/jpeg"/>
  <Override PartName="/word/media/image37.jpeg" ContentType="image/jpeg"/>
  <Override PartName="/word/media/image62.jpeg" ContentType="image/jpeg"/>
  <Override PartName="/word/media/image79.jpeg" ContentType="image/jpeg"/>
  <Override PartName="/word/media/image19.jpeg" ContentType="image/jpeg"/>
  <Override PartName="/word/media/image63.jpeg" ContentType="image/jpeg"/>
  <Override PartName="/word/media/image6.jpeg" ContentType="image/jpeg"/>
  <Override PartName="/word/media/image76.jpeg" ContentType="image/jpeg"/>
  <Override PartName="/word/media/image75.jpeg" ContentType="image/jpeg"/>
  <Override PartName="/word/media/image21.jpeg" ContentType="image/jpeg"/>
  <Override PartName="/word/media/image80.jpeg" ContentType="image/jpeg"/>
  <Override PartName="/word/media/image74.jpeg" ContentType="image/jpeg"/>
  <Override PartName="/word/media/image69.jpeg" ContentType="image/jpeg"/>
  <Override PartName="/word/media/image73.jpeg" ContentType="image/jpeg"/>
  <Override PartName="/word/media/image68.jpeg" ContentType="image/jpeg"/>
  <Override PartName="/word/media/image72.jpeg" ContentType="image/jpeg"/>
  <Override PartName="/word/media/image67.jpeg" ContentType="image/jpeg"/>
  <Override PartName="/word/media/image71.jpeg" ContentType="image/jpeg"/>
  <Override PartName="/word/media/image66.jpeg" ContentType="image/jpeg"/>
  <Override PartName="/word/media/image70.jpeg" ContentType="image/jpeg"/>
  <Override PartName="/word/media/image65.jpeg" ContentType="image/jpeg"/>
  <Override PartName="/word/media/image64.jpeg" ContentType="image/jpeg"/>
  <Override PartName="/word/media/image7.jpeg" ContentType="image/jpeg"/>
  <Override PartName="/word/media/image38.jpeg" ContentType="image/jpeg"/>
  <Override PartName="/word/media/image81.jpeg" ContentType="image/jpeg"/>
  <Override PartName="/word/media/image22.jpeg" ContentType="image/jpeg"/>
  <Override PartName="/word/media/image1.jpeg" ContentType="image/jpeg"/>
  <Override PartName="/word/media/image35.jpeg" ContentType="image/jpeg"/>
  <Override PartName="/word/media/image82.jpeg" ContentType="image/jpeg"/>
  <Override PartName="/word/media/image23.jpeg" ContentType="image/jpeg"/>
  <Override PartName="/word/media/image2.jpeg" ContentType="image/jpeg"/>
  <Override PartName="/word/media/image36.jpeg" ContentType="image/jpeg"/>
  <Override PartName="/word/media/image83.jpeg" ContentType="image/jpeg"/>
  <Override PartName="/word/media/image24.jpeg" ContentType="image/jpeg"/>
  <Override PartName="/word/media/image84.jpeg" ContentType="image/jpeg"/>
  <Override PartName="/word/media/image25.jpeg" ContentType="image/jpeg"/>
  <Override PartName="/word/media/image85.jpeg" ContentType="image/jpeg"/>
  <Override PartName="/word/media/image26.jpeg" ContentType="image/jpeg"/>
  <Override PartName="/word/media/image50.jpeg" ContentType="image/jpeg"/>
  <Override PartName="/word/media/image51.jpeg" ContentType="image/jpeg"/>
  <Override PartName="/word/media/image88.jpeg" ContentType="image/jpeg"/>
  <Override PartName="/word/media/image12.jpeg" ContentType="image/jpeg"/>
  <Override PartName="/word/media/image29.jpeg" ContentType="image/jpeg"/>
  <Override PartName="/word/media/image52.jpeg" ContentType="image/jpeg"/>
  <Override PartName="/word/media/image10.jpeg" ContentType="image/jpeg"/>
  <Override PartName="/word/media/image27.jpeg" ContentType="image/jpeg"/>
  <Override PartName="/word/media/image86.jpeg" ContentType="image/jpeg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jc w:val="left"/>
        <w:rPr/>
      </w:pPr>
      <w:r>
        <w:rPr/>
      </w:r>
    </w:p>
    <w:p>
      <w:pPr>
        <w:sectPr>
          <w:type w:val="nextPage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5333B"/>
          <w:sz w:val="18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5333B"/>
          <w:sz w:val="18"/>
          <w:u w:val="none"/>
          <w:effect w:val="none"/>
        </w:rPr>
        <w:t>UNITED STATES</w:t>
      </w:r>
    </w:p>
    <w:p>
      <w:pPr>
        <w:pStyle w:val="TextBody"/>
        <w:bidi w:val="0"/>
        <w:spacing w:lineRule="atLeast" w:line="142" w:before="0" w:after="0"/>
        <w:jc w:val="left"/>
        <w:rPr>
          <w:caps w:val="false"/>
          <w:smallCaps w:val="false"/>
          <w:strike w:val="false"/>
          <w:dstrike w:val="false"/>
          <w:color w:val="15333B"/>
          <w:u w:val="none"/>
          <w:effect w:val="none"/>
        </w:rPr>
      </w:pPr>
      <w:r>
        <w:rPr>
          <w:caps w:val="false"/>
          <w:smallCaps w:val="false"/>
          <w:strike w:val="false"/>
          <w:dstrike w:val="false"/>
          <w:color w:val="15333B"/>
          <w:u w:val="none"/>
          <w:effect w:val="none"/>
        </w:rPr>
        <w:t> 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5333B"/>
          <w:sz w:val="18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5333B"/>
          <w:sz w:val="18"/>
          <w:u w:val="none"/>
          <w:effect w:val="none"/>
        </w:rPr>
        <w:t>SECURITIES AND EXCHANGE COMMISSION</w:t>
      </w:r>
    </w:p>
    <w:p>
      <w:pPr>
        <w:pStyle w:val="TextBody"/>
        <w:bidi w:val="0"/>
        <w:spacing w:lineRule="atLeast" w:line="142" w:before="0" w:after="0"/>
        <w:jc w:val="left"/>
        <w:rPr>
          <w:caps w:val="false"/>
          <w:smallCaps w:val="false"/>
          <w:strike w:val="false"/>
          <w:dstrike w:val="false"/>
          <w:color w:val="15333B"/>
          <w:u w:val="none"/>
          <w:effect w:val="none"/>
        </w:rPr>
      </w:pPr>
      <w:r>
        <w:rPr>
          <w:caps w:val="false"/>
          <w:smallCaps w:val="false"/>
          <w:strike w:val="false"/>
          <w:dstrike w:val="false"/>
          <w:color w:val="15333B"/>
          <w:u w:val="none"/>
          <w:effect w:val="none"/>
        </w:rPr>
        <w:t> 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15333B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15333B"/>
          <w:sz w:val="18"/>
          <w:u w:val="none"/>
          <w:effect w:val="none"/>
        </w:rPr>
        <w:t>Washington, D.C. 20549</w:t>
      </w:r>
    </w:p>
    <w:p>
      <w:pPr>
        <w:pStyle w:val="TextBody"/>
        <w:bidi w:val="0"/>
        <w:spacing w:lineRule="atLeast" w:line="32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5333B"/>
          <w:sz w:val="32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5333B"/>
          <w:sz w:val="32"/>
          <w:u w:val="none"/>
          <w:effect w:val="none"/>
        </w:rPr>
        <w:t>SCHEDULE 14A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5333B"/>
          <w:sz w:val="18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5333B"/>
          <w:sz w:val="18"/>
          <w:u w:val="none"/>
          <w:effect w:val="none"/>
        </w:rPr>
        <w:t>Proxy Statement Pursuant to Section 14(a) of the Securities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5333B"/>
          <w:sz w:val="18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5333B"/>
          <w:sz w:val="18"/>
          <w:u w:val="none"/>
          <w:effect w:val="none"/>
        </w:rPr>
        <w:t>Exchange Act of 1934 (Amendment No.  )</w:t>
      </w:r>
    </w:p>
    <w:tbl>
      <w:tblPr>
        <w:tblW w:w="6579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476"/>
        <w:gridCol w:w="2056"/>
        <w:gridCol w:w="461"/>
        <w:gridCol w:w="3586"/>
      </w:tblGrid>
      <w:tr>
        <w:trPr/>
        <w:tc>
          <w:tcPr>
            <w:tcW w:w="4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5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8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76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238125" cy="23812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238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0" w:name="i-1"/>
            <w:bookmarkEnd w:id="0"/>
          </w:p>
        </w:tc>
        <w:tc>
          <w:tcPr>
            <w:tcW w:w="205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15333B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15333B"/>
                <w:u w:val="none"/>
                <w:effect w:val="none"/>
              </w:rPr>
              <w:t>  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15333B"/>
                <w:sz w:val="18"/>
                <w:u w:val="none"/>
                <w:effect w:val="none"/>
              </w:rPr>
              <w:t>Filed by the Registrant</w:t>
            </w:r>
          </w:p>
        </w:tc>
        <w:tc>
          <w:tcPr>
            <w:tcW w:w="46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238125" cy="23812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238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1" w:name="i-2"/>
            <w:bookmarkEnd w:id="1"/>
          </w:p>
        </w:tc>
        <w:tc>
          <w:tcPr>
            <w:tcW w:w="358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15333B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15333B"/>
                <w:u w:val="none"/>
                <w:effect w:val="none"/>
              </w:rPr>
              <w:t>  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15333B"/>
                <w:sz w:val="18"/>
                <w:u w:val="none"/>
                <w:effect w:val="none"/>
              </w:rPr>
              <w:t>Filed by a Party other than the Registrant</w:t>
            </w:r>
          </w:p>
        </w:tc>
      </w:tr>
    </w:tbl>
    <w:tbl>
      <w:tblPr>
        <w:tblW w:w="7302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476"/>
        <w:gridCol w:w="6826"/>
      </w:tblGrid>
      <w:tr>
        <w:trPr/>
        <w:tc>
          <w:tcPr>
            <w:tcW w:w="4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8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73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1F1F1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5333B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5333B"/>
                <w:sz w:val="20"/>
                <w:u w:val="none"/>
                <w:effect w:val="none"/>
              </w:rPr>
              <w:t>Check the appropriate box:</w:t>
            </w:r>
          </w:p>
        </w:tc>
      </w:tr>
      <w:tr>
        <w:trPr/>
        <w:tc>
          <w:tcPr>
            <w:tcW w:w="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238125" cy="238125"/>
                  <wp:effectExtent l="0" t="0" r="0" b="0"/>
                  <wp:docPr id="3" name="Image3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Image3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238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2" w:name="i-3"/>
            <w:bookmarkEnd w:id="2"/>
          </w:p>
        </w:tc>
        <w:tc>
          <w:tcPr>
            <w:tcW w:w="6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15333B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15333B"/>
                <w:sz w:val="18"/>
                <w:u w:val="none"/>
                <w:effect w:val="none"/>
              </w:rPr>
              <w:t>Preliminary Proxy Statement</w:t>
            </w:r>
          </w:p>
        </w:tc>
      </w:tr>
      <w:tr>
        <w:trPr/>
        <w:tc>
          <w:tcPr>
            <w:tcW w:w="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238125" cy="238125"/>
                  <wp:effectExtent l="0" t="0" r="0" b="0"/>
                  <wp:docPr id="4" name="Image4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Image4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238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3" w:name="i-4"/>
            <w:bookmarkEnd w:id="3"/>
          </w:p>
        </w:tc>
        <w:tc>
          <w:tcPr>
            <w:tcW w:w="6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5333B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5333B"/>
                <w:sz w:val="18"/>
                <w:u w:val="none"/>
                <w:effect w:val="none"/>
              </w:rPr>
              <w:t>Confidential, for use of the Commission only (as permitted by Rule 14a-6(e)(2))</w:t>
            </w:r>
          </w:p>
        </w:tc>
      </w:tr>
      <w:tr>
        <w:trPr/>
        <w:tc>
          <w:tcPr>
            <w:tcW w:w="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238125" cy="238125"/>
                  <wp:effectExtent l="0" t="0" r="0" b="0"/>
                  <wp:docPr id="5" name="Image5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Image5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238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4" w:name="i-5"/>
            <w:bookmarkEnd w:id="4"/>
          </w:p>
        </w:tc>
        <w:tc>
          <w:tcPr>
            <w:tcW w:w="6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15333B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15333B"/>
                <w:sz w:val="18"/>
                <w:u w:val="none"/>
                <w:effect w:val="none"/>
              </w:rPr>
              <w:t>Definitive Proxy Statement</w:t>
            </w:r>
          </w:p>
        </w:tc>
      </w:tr>
      <w:tr>
        <w:trPr/>
        <w:tc>
          <w:tcPr>
            <w:tcW w:w="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238125" cy="238125"/>
                  <wp:effectExtent l="0" t="0" r="0" b="0"/>
                  <wp:docPr id="6" name="Image6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Image6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238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5" w:name="i-6"/>
            <w:bookmarkEnd w:id="5"/>
          </w:p>
        </w:tc>
        <w:tc>
          <w:tcPr>
            <w:tcW w:w="6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15333B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15333B"/>
                <w:sz w:val="18"/>
                <w:u w:val="none"/>
                <w:effect w:val="none"/>
              </w:rPr>
              <w:t>Definitive Additional Materials</w:t>
            </w:r>
          </w:p>
        </w:tc>
      </w:tr>
      <w:tr>
        <w:trPr/>
        <w:tc>
          <w:tcPr>
            <w:tcW w:w="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238125" cy="238125"/>
                  <wp:effectExtent l="0" t="0" r="0" b="0"/>
                  <wp:docPr id="7" name="Image7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Image7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238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6" w:name="i-7"/>
            <w:bookmarkEnd w:id="6"/>
          </w:p>
        </w:tc>
        <w:tc>
          <w:tcPr>
            <w:tcW w:w="6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15333B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15333B"/>
                <w:sz w:val="18"/>
                <w:u w:val="none"/>
                <w:effect w:val="none"/>
              </w:rPr>
              <w:t>Soliciting Material Pursuant to §240.14a-12</w:t>
            </w:r>
          </w:p>
        </w:tc>
      </w:tr>
    </w:tbl>
    <w:p>
      <w:pPr>
        <w:pStyle w:val="TextBody"/>
        <w:bidi w:val="0"/>
        <w:spacing w:lineRule="atLeast" w:line="40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5333B"/>
          <w:sz w:val="40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5333B"/>
          <w:sz w:val="40"/>
          <w:u w:val="none"/>
          <w:effect w:val="none"/>
        </w:rPr>
        <w:t>Take-Two Interactive Software, Inc.</w:t>
      </w:r>
    </w:p>
    <w:p>
      <w:pPr>
        <w:pStyle w:val="TextBody"/>
        <w:bidi w:val="0"/>
        <w:spacing w:lineRule="atLeast" w:line="200" w:before="0" w:after="0"/>
        <w:jc w:val="left"/>
        <w:rPr>
          <w:caps w:val="false"/>
          <w:smallCaps w:val="false"/>
          <w:strike w:val="false"/>
          <w:dstrike w:val="false"/>
          <w:color w:val="15333B"/>
          <w:u w:val="none"/>
          <w:effect w:val="none"/>
        </w:rPr>
      </w:pPr>
      <w:r>
        <w:rPr>
          <w:caps w:val="false"/>
          <w:smallCaps w:val="false"/>
          <w:strike w:val="false"/>
          <w:dstrike w:val="false"/>
          <w:color w:val="15333B"/>
          <w:u w:val="none"/>
          <w:effect w:val="none"/>
        </w:rPr>
        <w:t> </w:t>
      </w:r>
    </w:p>
    <w:p>
      <w:pPr>
        <w:pStyle w:val="TextBody"/>
        <w:bidi w:val="0"/>
        <w:spacing w:before="0" w:after="0"/>
        <w:jc w:val="left"/>
        <w:rPr/>
      </w:pPr>
      <w:r>
        <w:rPr/>
        <w:drawing>
          <wp:inline distT="0" distB="0" distL="0" distR="0">
            <wp:extent cx="1314450" cy="1114425"/>
            <wp:effectExtent l="0" t="0" r="0" b="0"/>
            <wp:docPr id="8" name="Image8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8" descr="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0" cy="1114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7" w:name="i-8"/>
      <w:bookmarkEnd w:id="7"/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/>
          <w:i/>
          <w:strike w:val="false"/>
          <w:dstrike w:val="false"/>
          <w:color w:val="15333B"/>
          <w:sz w:val="18"/>
          <w:u w:val="none"/>
          <w:effect w:val="none"/>
        </w:rPr>
      </w:pPr>
      <w:r>
        <w:rPr>
          <w:rFonts w:ascii="Arial;sans-serif" w:hAnsi="Arial;sans-serif"/>
          <w:b/>
          <w:i/>
          <w:strike w:val="false"/>
          <w:dstrike w:val="false"/>
          <w:color w:val="15333B"/>
          <w:sz w:val="18"/>
          <w:u w:val="none"/>
          <w:effect w:val="none"/>
        </w:rPr>
        <w:t>(Name of Registrant as Specified In Its Charter)</w:t>
      </w:r>
    </w:p>
    <w:p>
      <w:pPr>
        <w:pStyle w:val="TextBody"/>
        <w:bidi w:val="0"/>
        <w:spacing w:lineRule="atLeast" w:line="142" w:before="0" w:after="0"/>
        <w:jc w:val="left"/>
        <w:rPr>
          <w:caps w:val="false"/>
          <w:smallCaps w:val="false"/>
          <w:strike w:val="false"/>
          <w:dstrike w:val="false"/>
          <w:color w:val="15333B"/>
          <w:u w:val="none"/>
          <w:effect w:val="none"/>
        </w:rPr>
      </w:pPr>
      <w:r>
        <w:rPr>
          <w:caps w:val="false"/>
          <w:smallCaps w:val="false"/>
          <w:strike w:val="false"/>
          <w:dstrike w:val="false"/>
          <w:color w:val="15333B"/>
          <w:u w:val="none"/>
          <w:effect w:val="none"/>
        </w:rPr>
        <w:t> 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/>
          <w:i/>
          <w:strike w:val="false"/>
          <w:dstrike w:val="false"/>
          <w:color w:val="15333B"/>
          <w:sz w:val="18"/>
          <w:u w:val="none"/>
          <w:effect w:val="none"/>
        </w:rPr>
      </w:pPr>
      <w:r>
        <w:rPr>
          <w:rFonts w:ascii="Arial;sans-serif" w:hAnsi="Arial;sans-serif"/>
          <w:b/>
          <w:i/>
          <w:strike w:val="false"/>
          <w:dstrike w:val="false"/>
          <w:color w:val="15333B"/>
          <w:sz w:val="18"/>
          <w:u w:val="none"/>
          <w:effect w:val="none"/>
        </w:rPr>
        <w:t>(Name of Person(s) Filing Proxy Statement, if other than the Registrant)</w:t>
      </w:r>
    </w:p>
    <w:p>
      <w:pPr>
        <w:pStyle w:val="TextBody"/>
        <w:bidi w:val="0"/>
        <w:spacing w:lineRule="atLeast" w:line="142" w:before="0" w:after="0"/>
        <w:jc w:val="left"/>
        <w:rPr>
          <w:caps w:val="false"/>
          <w:smallCaps w:val="false"/>
          <w:strike w:val="false"/>
          <w:dstrike w:val="false"/>
          <w:color w:val="15333B"/>
          <w:u w:val="none"/>
          <w:effect w:val="none"/>
        </w:rPr>
      </w:pPr>
      <w:r>
        <w:rPr>
          <w:caps w:val="false"/>
          <w:smallCaps w:val="false"/>
          <w:strike w:val="false"/>
          <w:dstrike w:val="false"/>
          <w:color w:val="15333B"/>
          <w:u w:val="none"/>
          <w:effect w:val="none"/>
        </w:rPr>
        <w:t> </w:t>
      </w:r>
    </w:p>
    <w:tbl>
      <w:tblPr>
        <w:tblW w:w="914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476"/>
        <w:gridCol w:w="8671"/>
      </w:tblGrid>
      <w:tr>
        <w:trPr/>
        <w:tc>
          <w:tcPr>
            <w:tcW w:w="4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1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1F1F1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5333B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5333B"/>
                <w:sz w:val="20"/>
                <w:u w:val="none"/>
                <w:effect w:val="none"/>
              </w:rPr>
              <w:t>Payment of Filing Fee (Check all boxes that apply):</w:t>
            </w:r>
          </w:p>
        </w:tc>
      </w:tr>
      <w:tr>
        <w:trPr/>
        <w:tc>
          <w:tcPr>
            <w:tcW w:w="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238125" cy="238125"/>
                  <wp:effectExtent l="0" t="0" r="0" b="0"/>
                  <wp:docPr id="9" name="Image9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Image9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238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8" w:name="i-9"/>
            <w:bookmarkEnd w:id="8"/>
          </w:p>
        </w:tc>
        <w:tc>
          <w:tcPr>
            <w:tcW w:w="8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both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5333B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5333B"/>
                <w:sz w:val="18"/>
                <w:u w:val="none"/>
                <w:effect w:val="none"/>
              </w:rPr>
              <w:t>No fee required.</w:t>
            </w:r>
          </w:p>
        </w:tc>
      </w:tr>
      <w:tr>
        <w:trPr/>
        <w:tc>
          <w:tcPr>
            <w:tcW w:w="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238125" cy="238125"/>
                  <wp:effectExtent l="0" t="0" r="0" b="0"/>
                  <wp:docPr id="10" name="Image10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Image10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238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9" w:name="i-10"/>
            <w:bookmarkEnd w:id="9"/>
          </w:p>
        </w:tc>
        <w:tc>
          <w:tcPr>
            <w:tcW w:w="8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both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5333B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5333B"/>
                <w:sz w:val="18"/>
                <w:u w:val="none"/>
                <w:effect w:val="none"/>
              </w:rPr>
              <w:t>Fee paid previously with preliminary materials.</w:t>
            </w:r>
          </w:p>
        </w:tc>
      </w:tr>
      <w:tr>
        <w:trPr/>
        <w:tc>
          <w:tcPr>
            <w:tcW w:w="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238125" cy="238125"/>
                  <wp:effectExtent l="0" t="0" r="0" b="0"/>
                  <wp:docPr id="11" name="Image1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Image1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238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10" w:name="i-11"/>
            <w:bookmarkEnd w:id="10"/>
          </w:p>
        </w:tc>
        <w:tc>
          <w:tcPr>
            <w:tcW w:w="8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both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5333B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5333B"/>
                <w:sz w:val="18"/>
                <w:u w:val="none"/>
                <w:effect w:val="none"/>
              </w:rPr>
              <w:t>Fee computed on table in exhibit required by Item 25(b) per Exchange Act Rules 14a-6(i)(1) and 0-11.</w:t>
            </w:r>
          </w:p>
        </w:tc>
      </w:tr>
    </w:tbl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  <w:drawing>
          <wp:inline distT="0" distB="0" distL="0" distR="0">
            <wp:extent cx="7543800" cy="9829800"/>
            <wp:effectExtent l="0" t="0" r="0" b="0"/>
            <wp:docPr id="12" name="Image1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12" descr="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0" cy="9829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11" w:name="i-12"/>
      <w:bookmarkEnd w:id="11"/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shd w:fill="auto" w:val="clear"/>
        </w:rPr>
      </w:pPr>
      <w:r>
        <w:rPr>
          <w:shd w:fill="auto" w:val="clear"/>
        </w:rPr>
        <w:drawing>
          <wp:inline distT="0" distB="0" distL="0" distR="0">
            <wp:extent cx="6419215" cy="1454150"/>
            <wp:effectExtent l="0" t="0" r="0" b="0"/>
            <wp:docPr id="13" name="Image1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Image13" descr="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19215" cy="1454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12" w:name="i-13"/>
      <w:bookmarkEnd w:id="12"/>
    </w:p>
    <w:p>
      <w:pPr>
        <w:pStyle w:val="TextBody"/>
        <w:bidi w:val="0"/>
        <w:spacing w:before="0" w:after="0"/>
        <w:jc w:val="left"/>
        <w:rPr>
          <w:shd w:fill="auto" w:val="clear"/>
        </w:rPr>
      </w:pPr>
      <w:r>
        <w:rPr>
          <w:shd w:fill="auto" w:val="clear"/>
        </w:rPr>
        <w:drawing>
          <wp:inline distT="0" distB="0" distL="0" distR="0">
            <wp:extent cx="438785" cy="311150"/>
            <wp:effectExtent l="0" t="0" r="0" b="0"/>
            <wp:docPr id="14" name="Image1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14" descr="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785" cy="311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13" w:name="i-14"/>
      <w:bookmarkEnd w:id="13"/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FFFFFF"/>
          <w:sz w:val="20"/>
          <w:u w:val="none"/>
          <w:effect w:val="none"/>
          <w:shd w:fill="auto" w:val="clear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FFFFFF"/>
          <w:sz w:val="20"/>
          <w:u w:val="none"/>
          <w:effect w:val="none"/>
          <w:shd w:fill="auto" w:val="clear"/>
        </w:rPr>
        <w:t xml:space="preserve">Fiscal year 2027 has the potential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FFFFFF"/>
          <w:sz w:val="20"/>
          <w:u w:val="none"/>
          <w:effect w:val="none"/>
          <w:shd w:fill="auto" w:val="clear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FFFFFF"/>
          <w:sz w:val="20"/>
          <w:u w:val="none"/>
          <w:effect w:val="none"/>
          <w:shd w:fill="auto" w:val="clear"/>
        </w:rPr>
        <w:t xml:space="preserve">to be a major inflection point for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FFFFFF"/>
          <w:sz w:val="20"/>
          <w:u w:val="none"/>
          <w:effect w:val="none"/>
          <w:shd w:fill="auto" w:val="clear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FFFFFF"/>
          <w:sz w:val="20"/>
          <w:u w:val="none"/>
          <w:effect w:val="none"/>
          <w:shd w:fill="auto" w:val="clear"/>
        </w:rPr>
        <w:t xml:space="preserve">our Company, defined by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FFFFFF"/>
          <w:sz w:val="20"/>
          <w:u w:val="none"/>
          <w:effect w:val="none"/>
          <w:shd w:fill="auto" w:val="clear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FFFFFF"/>
          <w:sz w:val="20"/>
          <w:u w:val="none"/>
          <w:effect w:val="none"/>
          <w:shd w:fill="auto" w:val="clear"/>
        </w:rPr>
        <w:t xml:space="preserve">groundbreaking entertainment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FFFFFF"/>
          <w:sz w:val="20"/>
          <w:u w:val="none"/>
          <w:effect w:val="none"/>
          <w:shd w:fill="auto" w:val="clear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FFFFFF"/>
          <w:sz w:val="20"/>
          <w:u w:val="none"/>
          <w:effect w:val="none"/>
          <w:shd w:fill="auto" w:val="clear"/>
        </w:rPr>
        <w:t xml:space="preserve">experiences, creative and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FFFFFF"/>
          <w:sz w:val="20"/>
          <w:u w:val="none"/>
          <w:effect w:val="none"/>
          <w:shd w:fill="auto" w:val="clear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FFFFFF"/>
          <w:sz w:val="20"/>
          <w:u w:val="none"/>
          <w:effect w:val="none"/>
          <w:shd w:fill="auto" w:val="clear"/>
        </w:rPr>
        <w:t xml:space="preserve">operational excellence, and </w:t>
      </w:r>
    </w:p>
    <w:p>
      <w:pPr>
        <w:pStyle w:val="TextBody"/>
        <w:bidi w:val="0"/>
        <w:spacing w:lineRule="atLeast" w:line="240" w:before="0" w:after="0"/>
        <w:jc w:val="left"/>
        <w:rPr>
          <w:shd w:fill="auto" w:val="clear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FFFFFF"/>
          <w:sz w:val="20"/>
          <w:u w:val="none"/>
          <w:effect w:val="none"/>
          <w:shd w:fill="auto" w:val="clear"/>
        </w:rPr>
        <w:t>record Net Bookings.</w:t>
      </w:r>
      <w:r>
        <w:rPr>
          <w:caps w:val="false"/>
          <w:smallCaps w:val="false"/>
          <w:strike w:val="false"/>
          <w:dstrike w:val="false"/>
          <w:color w:val="FFFFFF"/>
          <w:u w:val="none"/>
          <w:effect w:val="none"/>
          <w:shd w:fill="auto" w:val="clear"/>
        </w:rPr>
        <w:t xml:space="preserve">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FFFFFF"/>
          <w:sz w:val="20"/>
          <w:u w:val="none"/>
          <w:effect w:val="none"/>
          <w:shd w:fill="auto" w:val="clear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FFFFFF"/>
          <w:sz w:val="20"/>
          <w:u w:val="none"/>
          <w:effect w:val="none"/>
          <w:shd w:fill="auto" w:val="clear"/>
        </w:rPr>
        <w:t>TAKE-TWO INTERACTIVE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FFFFFF"/>
          <w:sz w:val="20"/>
          <w:u w:val="none"/>
          <w:effect w:val="none"/>
          <w:shd w:fill="auto" w:val="clear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FFFFFF"/>
          <w:sz w:val="20"/>
          <w:u w:val="none"/>
          <w:effect w:val="none"/>
          <w:shd w:fill="auto" w:val="clear"/>
        </w:rPr>
        <w:t>SOFTWARE, INC.</w:t>
      </w:r>
    </w:p>
    <w:p>
      <w:pPr>
        <w:pStyle w:val="TextBody"/>
        <w:bidi w:val="0"/>
        <w:spacing w:lineRule="atLeast" w:line="180" w:before="0" w:after="0"/>
        <w:jc w:val="left"/>
        <w:rPr>
          <w:shd w:fill="auto" w:val="clear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FFFFFF"/>
          <w:sz w:val="18"/>
          <w:u w:val="none"/>
          <w:effect w:val="none"/>
          <w:shd w:fill="auto" w:val="clear"/>
        </w:rPr>
        <w:t>110 West 44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FFFFFF"/>
          <w:sz w:val="12"/>
          <w:u w:val="none"/>
          <w:effect w:val="none"/>
          <w:shd w:fill="auto" w:val="clear"/>
        </w:rPr>
        <w:t>th 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FFFFFF"/>
          <w:sz w:val="18"/>
          <w:u w:val="none"/>
          <w:effect w:val="none"/>
          <w:shd w:fill="auto" w:val="clear"/>
        </w:rPr>
        <w:t>Street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FFFFFF"/>
          <w:sz w:val="18"/>
          <w:u w:val="none"/>
          <w:effect w:val="none"/>
          <w:shd w:fill="auto" w:val="clear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FFFFFF"/>
          <w:sz w:val="18"/>
          <w:u w:val="none"/>
          <w:effect w:val="none"/>
          <w:shd w:fill="auto" w:val="clear"/>
        </w:rPr>
        <w:t>New York, NY 10036, USA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FFFFFF"/>
          <w:sz w:val="18"/>
          <w:u w:val="none"/>
          <w:effect w:val="none"/>
          <w:shd w:fill="auto" w:val="clear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FFFFFF"/>
          <w:sz w:val="18"/>
          <w:u w:val="none"/>
          <w:effect w:val="none"/>
          <w:shd w:fill="auto" w:val="clear"/>
        </w:rPr>
        <w:t>Tel 646.536.2842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FFFFFF"/>
          <w:sz w:val="18"/>
          <w:u w:val="none"/>
          <w:effect w:val="none"/>
          <w:shd w:fill="auto" w:val="clear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FFFFFF"/>
          <w:sz w:val="18"/>
          <w:u w:val="none"/>
          <w:effect w:val="none"/>
          <w:shd w:fill="auto" w:val="clear"/>
        </w:rPr>
        <w:t>Fax 646.536.2926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FFFFFF"/>
          <w:sz w:val="18"/>
          <w:u w:val="none"/>
          <w:effect w:val="none"/>
          <w:shd w:fill="auto" w:val="clear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FFFFFF"/>
          <w:sz w:val="18"/>
          <w:u w:val="none"/>
          <w:effect w:val="none"/>
          <w:shd w:fill="auto" w:val="clear"/>
        </w:rPr>
        <w:t>www.take2games.com</w:t>
      </w:r>
    </w:p>
    <w:p>
      <w:pPr>
        <w:pStyle w:val="TextBody"/>
        <w:bidi w:val="0"/>
        <w:spacing w:before="0" w:after="0"/>
        <w:jc w:val="left"/>
        <w:rPr>
          <w:shd w:fill="auto" w:val="clear"/>
        </w:rPr>
      </w:pPr>
      <w:r>
        <w:rPr>
          <w:shd w:fill="auto" w:val="clear"/>
        </w:rPr>
        <w:drawing>
          <wp:inline distT="0" distB="0" distL="0" distR="0">
            <wp:extent cx="438785" cy="311150"/>
            <wp:effectExtent l="0" t="0" r="0" b="0"/>
            <wp:docPr id="15" name="Image1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Image15" descr="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785" cy="311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14" w:name="i-15"/>
      <w:bookmarkEnd w:id="14"/>
    </w:p>
    <w:p>
      <w:pPr>
        <w:pStyle w:val="TextBody"/>
        <w:bidi w:val="0"/>
        <w:spacing w:lineRule="atLeast" w:line="38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38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38"/>
          <w:u w:val="none"/>
          <w:effect w:val="none"/>
        </w:rPr>
        <w:t>LETTER TO</w:t>
      </w:r>
    </w:p>
    <w:p>
      <w:pPr>
        <w:pStyle w:val="TextBody"/>
        <w:bidi w:val="0"/>
        <w:spacing w:lineRule="atLeast" w:line="38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38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38"/>
          <w:u w:val="none"/>
          <w:effect w:val="none"/>
        </w:rPr>
        <w:t>OUR SHAREHOLDERS</w:t>
      </w:r>
    </w:p>
    <w:p>
      <w:pPr>
        <w:pStyle w:val="TextBody"/>
        <w:bidi w:val="0"/>
        <w:spacing w:lineRule="atLeast" w:line="180" w:before="0" w:after="0"/>
        <w:jc w:val="left"/>
        <w:rPr>
          <w:sz w:val="24"/>
        </w:rPr>
      </w:pPr>
      <w:r>
        <w:rPr>
          <w:rFonts w:ascii="Arial;sans-serif" w:hAnsi="Arial;sans-serif"/>
          <w:b/>
          <w:i w:val="false"/>
          <w:caps w:val="false"/>
          <w:smallCaps w:val="false"/>
          <w:sz w:val="18"/>
        </w:rPr>
        <w:t xml:space="preserve">Strauss Zelnick | </w:t>
      </w: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July 27, 2026</w:t>
      </w:r>
    </w:p>
    <w:p>
      <w:pPr>
        <w:pStyle w:val="TextBody"/>
        <w:bidi w:val="0"/>
        <w:spacing w:lineRule="atLeast" w:line="200" w:before="0" w:after="0"/>
        <w:jc w:val="both"/>
        <w:rPr>
          <w:rFonts w:ascii="Arial;sans-serif" w:hAnsi="Arial;sans-serif"/>
          <w:b/>
          <w:i w:val="false"/>
          <w:caps w:val="false"/>
          <w:smallCaps w:val="false"/>
          <w:sz w:val="20"/>
          <w:u w:val="single"/>
        </w:rPr>
      </w:pPr>
      <w:r>
        <w:rPr>
          <w:rFonts w:ascii="Arial;sans-serif" w:hAnsi="Arial;sans-serif"/>
          <w:b/>
          <w:i w:val="false"/>
          <w:caps w:val="false"/>
          <w:smallCaps w:val="false"/>
          <w:sz w:val="20"/>
          <w:u w:val="single"/>
        </w:rPr>
        <w:t>Dear Shareholders: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 xml:space="preserve">We delivered outstanding fiscal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2026</w:t>
      </w:r>
      <w:r>
        <w:rPr>
          <w:caps w:val="false"/>
          <w:smallCaps w:val="false"/>
          <w:sz w:val="24"/>
          <w:u w:val="singl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 xml:space="preserve">results, including Net Bookings of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$6.72 billion</w:t>
      </w:r>
      <w:r>
        <w:rPr>
          <w:caps w:val="false"/>
          <w:smallCaps w:val="false"/>
          <w:sz w:val="24"/>
          <w:u w:val="singl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which was approximately $750 million</w:t>
      </w:r>
      <w:r>
        <w:rPr>
          <w:caps w:val="false"/>
          <w:smallCaps w:val="false"/>
          <w:sz w:val="24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 xml:space="preserve">above our initial guidance. Each of our labels exceeded our initial expectations – </w:t>
      </w:r>
      <w:r>
        <w:rPr>
          <w:rFonts w:ascii="Arial;sans-serif" w:hAnsi="Arial;sans-serif"/>
          <w:b w:val="false"/>
          <w:i/>
          <w:sz w:val="18"/>
          <w:u w:val="single"/>
        </w:rPr>
        <w:t xml:space="preserve">NBA 2K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delivered record Net Bookings and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recurrent consumer spending; Zynga achieved its highest level of Net Bookings since we acquired the business in 2022; and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 xml:space="preserve">Rockstar’s </w:t>
      </w:r>
      <w:r>
        <w:rPr>
          <w:rFonts w:ascii="Arial;sans-serif" w:hAnsi="Arial;sans-serif"/>
          <w:b w:val="false"/>
          <w:i/>
          <w:sz w:val="18"/>
          <w:u w:val="single"/>
        </w:rPr>
        <w:t>Grand Theft Auto</w:t>
      </w:r>
      <w:r>
        <w:rPr>
          <w:caps w:val="false"/>
          <w:smallCaps w:val="false"/>
          <w:u w:val="singl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series continued to drive significant Net Bookings and deep engagement with its passionate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community of players.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We are excited about the future and the opportunities that lie ahead – for our players, our Company, and our shareholders.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 xml:space="preserve">Fiscal year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2027</w:t>
      </w:r>
      <w:r>
        <w:rPr>
          <w:caps w:val="false"/>
          <w:smallCaps w:val="false"/>
          <w:sz w:val="24"/>
          <w:u w:val="singl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has the potential to be a major inflection point for our Company, defined by groundbreaking entertainment</w:t>
      </w:r>
      <w:r>
        <w:rPr>
          <w:caps w:val="false"/>
          <w:smallCaps w:val="false"/>
          <w:sz w:val="24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 xml:space="preserve">experiences – led by the planned November 19th release of </w:t>
      </w:r>
      <w:r>
        <w:rPr>
          <w:rFonts w:ascii="Arial;sans-serif" w:hAnsi="Arial;sans-serif"/>
          <w:b w:val="false"/>
          <w:i/>
          <w:sz w:val="18"/>
          <w:u w:val="single"/>
        </w:rPr>
        <w:t xml:space="preserve">Grand Theft Auto VI </w:t>
      </w:r>
      <w:r>
        <w:rPr>
          <w:caps w:val="false"/>
          <w:smallCaps w:val="false"/>
          <w:u w:val="single"/>
        </w:rPr>
        <w:t xml:space="preserve">–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creative and operational excellence, and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record Net Bookings. Backed by our flexible balance sheet and expected operating cash flow of more than $1 billion this fiscal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year, we are positioned to realize the creative and commercial potential of our franchises, pursue accretive M&amp;A opportunities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and invest in technology that will unlock greater creative capabilities and operational efficiencies across our organization. We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are exceedingly optimistic that these efforts will drive continued success and long-term shareholder value.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We invite you to attend the Annual Meeting of Shareholders of Take-Two Interactive Software, Inc. that will be held on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September 17, 2026, at 9:00 a.m. eastern time as a virtual, audio-only meeting hosted online at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www.virtualshareholdermeeting.com/TTWO2026.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Details of the business to be conducted at the Annual Meeting are provided in the attached Notice of Annual Meeting of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Shareholders and Proxy Statement, which you are urged to read carefully. On or about August 3, 2026, we expect to begin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mailing to our shareholders a Notice of Internet Availability of Proxy Materials containing instructions on how to access our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Proxy Statement and Annual Report and vote online. If you would like to receive a paper copy of our Proxy Statement and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Annual Report, please follow the instructions included in the Notice of Internet Availability of Proxy Materials.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Whether you plan to attend the meeting or not, it is important that your shares be represented and voted. After you read the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Notice of Annual Meeting of Shareholders and Proxy Statement, we urge you to cast your vote via the Internet, by completing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and returning your proxy card, or by telephone. If the address on the Notice of Internet Availability of Proxy Materials or the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accompanying materials is incorrect, please advise our Transfer Agent, Equiniti Trust Company LLC, in writing at 55 Challenger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Road, Floor 2, Ridgefield Park, NJ 07660.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We hope that you will attend the meeting and appreciate your continued support.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>Sincerely,</w:t>
      </w:r>
    </w:p>
    <w:p>
      <w:pPr>
        <w:pStyle w:val="TextBody"/>
        <w:bidi w:val="0"/>
        <w:spacing w:before="0" w:after="0"/>
        <w:jc w:val="left"/>
        <w:rPr/>
      </w:pPr>
      <w:r>
        <w:rPr/>
        <w:drawing>
          <wp:inline distT="0" distB="0" distL="0" distR="0">
            <wp:extent cx="1371600" cy="281305"/>
            <wp:effectExtent l="0" t="0" r="0" b="0"/>
            <wp:docPr id="16" name="Image16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16" descr="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2813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15" w:name="i-16"/>
      <w:bookmarkEnd w:id="15"/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Strauss Zelnick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15333B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15333B"/>
          <w:sz w:val="18"/>
          <w:u w:val="none"/>
          <w:effect w:val="none"/>
        </w:rPr>
        <w:t>Executive Chairman and Chief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15333B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15333B"/>
          <w:sz w:val="18"/>
          <w:u w:val="none"/>
          <w:effect w:val="none"/>
        </w:rPr>
        <w:t>Executive Officer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>
          <w:shd w:fill="auto" w:val="clear"/>
        </w:rPr>
      </w:pPr>
      <w:r>
        <w:rPr>
          <w:shd w:fill="auto" w:val="clear"/>
        </w:rPr>
        <w:drawing>
          <wp:inline distT="0" distB="0" distL="0" distR="0">
            <wp:extent cx="923290" cy="776605"/>
            <wp:effectExtent l="0" t="0" r="0" b="0"/>
            <wp:docPr id="17" name="Image17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Image17" descr="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290" cy="776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16" w:name="i-17"/>
      <w:bookmarkEnd w:id="16"/>
    </w:p>
    <w:p>
      <w:pPr>
        <w:pStyle w:val="TextBody"/>
        <w:bidi w:val="0"/>
        <w:spacing w:lineRule="atLeast" w:line="66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66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66"/>
          <w:u w:val="none"/>
          <w:effect w:val="none"/>
        </w:rPr>
        <w:t>NOTICE OF ANNUAL</w:t>
      </w:r>
    </w:p>
    <w:p>
      <w:pPr>
        <w:pStyle w:val="TextBody"/>
        <w:bidi w:val="0"/>
        <w:spacing w:lineRule="atLeast" w:line="66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66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66"/>
          <w:u w:val="none"/>
          <w:effect w:val="none"/>
        </w:rPr>
        <w:t>MEETING OF SHAREHOLDERS</w:t>
      </w:r>
    </w:p>
    <w:p>
      <w:pPr>
        <w:pStyle w:val="TextBody"/>
        <w:bidi w:val="0"/>
        <w:spacing w:lineRule="atLeast" w:line="240" w:before="0" w:after="0"/>
        <w:jc w:val="both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</w:rPr>
        <w:t>SEPTEMBER 17, 2026</w:t>
      </w:r>
    </w:p>
    <w:p>
      <w:pPr>
        <w:pStyle w:val="TextBody"/>
        <w:bidi w:val="0"/>
        <w:spacing w:lineRule="atLeast" w:line="20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9:00 a.m.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local time</w:t>
      </w:r>
    </w:p>
    <w:p>
      <w:pPr>
        <w:pStyle w:val="TextBody"/>
        <w:bidi w:val="0"/>
        <w:spacing w:before="0" w:after="0"/>
        <w:jc w:val="left"/>
        <w:rPr>
          <w:shd w:fill="auto" w:val="clear"/>
        </w:rPr>
      </w:pPr>
      <w:r>
        <w:rPr>
          <w:shd w:fill="auto" w:val="clear"/>
        </w:rPr>
        <w:drawing>
          <wp:inline distT="0" distB="0" distL="0" distR="0">
            <wp:extent cx="2011680" cy="26670"/>
            <wp:effectExtent l="0" t="0" r="0" b="0"/>
            <wp:docPr id="18" name="Image18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18" descr="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1680" cy="266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17" w:name="i-18"/>
      <w:bookmarkEnd w:id="17"/>
    </w:p>
    <w:tbl>
      <w:tblPr>
        <w:tblW w:w="332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05"/>
        <w:gridCol w:w="109"/>
        <w:gridCol w:w="2611"/>
      </w:tblGrid>
      <w:tr>
        <w:trPr/>
        <w:tc>
          <w:tcPr>
            <w:tcW w:w="6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61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32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5333B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5333B"/>
                <w:sz w:val="16"/>
                <w:u w:val="none"/>
                <w:effect w:val="none"/>
              </w:rPr>
              <w:t xml:space="preserve">REVIEW YOUR PROXY STATEMENT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5333B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5333B"/>
                <w:sz w:val="16"/>
                <w:u w:val="none"/>
                <w:effect w:val="none"/>
              </w:rPr>
              <w:t>AND VOTE IN ONE OF THREE WAYS:</w:t>
            </w:r>
          </w:p>
        </w:tc>
      </w:tr>
      <w:tr>
        <w:trPr/>
        <w:tc>
          <w:tcPr>
            <w:tcW w:w="6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61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605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</w:rPr>
            </w:pPr>
            <w:r>
              <w:rPr>
                <w:caps w:val="false"/>
                <w:smallCaps w:val="fals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320040" cy="255270"/>
                  <wp:effectExtent l="0" t="0" r="0" b="0"/>
                  <wp:docPr id="19" name="Image19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" name="Image19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0040" cy="2552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18" w:name="i-19"/>
            <w:bookmarkEnd w:id="18"/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611" w:type="dxa"/>
            <w:tcBorders/>
            <w:vAlign w:val="center"/>
          </w:tcPr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z w:val="15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z w:val="15"/>
              </w:rPr>
              <w:t>INTERNET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5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5"/>
              </w:rPr>
              <w:t>Visit the website on your proxy card</w:t>
            </w:r>
          </w:p>
        </w:tc>
      </w:tr>
      <w:tr>
        <w:trPr/>
        <w:tc>
          <w:tcPr>
            <w:tcW w:w="6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61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605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</w:rPr>
            </w:pPr>
            <w:r>
              <w:rPr>
                <w:caps w:val="false"/>
                <w:smallCaps w:val="fals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210185" cy="359410"/>
                  <wp:effectExtent l="0" t="0" r="0" b="0"/>
                  <wp:docPr id="20" name="Image20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" name="Image20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185" cy="359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19" w:name="i-20"/>
            <w:bookmarkEnd w:id="19"/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611" w:type="dxa"/>
            <w:tcBorders/>
            <w:vAlign w:val="center"/>
          </w:tcPr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z w:val="15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z w:val="15"/>
              </w:rPr>
              <w:t>BY TELEPHONE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5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5"/>
              </w:rPr>
              <w:t xml:space="preserve">Call the telephone number on your 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5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5"/>
              </w:rPr>
              <w:t>proxy card</w:t>
            </w:r>
          </w:p>
        </w:tc>
      </w:tr>
      <w:tr>
        <w:trPr/>
        <w:tc>
          <w:tcPr>
            <w:tcW w:w="6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61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605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</w:rPr>
            </w:pPr>
            <w:r>
              <w:rPr>
                <w:caps w:val="false"/>
                <w:smallCaps w:val="fals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320040" cy="233680"/>
                  <wp:effectExtent l="0" t="0" r="0" b="0"/>
                  <wp:docPr id="21" name="Image2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" name="Image2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0040" cy="2336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20" w:name="i-21"/>
            <w:bookmarkEnd w:id="20"/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611" w:type="dxa"/>
            <w:tcBorders/>
            <w:vAlign w:val="center"/>
          </w:tcPr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z w:val="15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z w:val="15"/>
              </w:rPr>
              <w:t>BY MAIL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5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5"/>
              </w:rPr>
              <w:t xml:space="preserve">Sign, date and return your proxy 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5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5"/>
              </w:rPr>
              <w:t>card in the enclosed envelope</w:t>
            </w:r>
          </w:p>
        </w:tc>
      </w:tr>
    </w:tbl>
    <w:p>
      <w:pPr>
        <w:pStyle w:val="TextBody"/>
        <w:bidi w:val="0"/>
        <w:spacing w:lineRule="atLeast" w:line="160" w:before="0" w:after="0"/>
        <w:jc w:val="both"/>
        <w:rPr>
          <w:u w:val="single"/>
        </w:rPr>
      </w:pPr>
      <w:r>
        <w:rPr>
          <w:rFonts w:ascii="Arial;sans-serif" w:hAnsi="Arial;sans-serif"/>
          <w:b/>
          <w:i w:val="false"/>
          <w:caps w:val="false"/>
          <w:smallCaps w:val="false"/>
          <w:sz w:val="16"/>
          <w:u w:val="single"/>
        </w:rPr>
        <w:t>Your vote is very important, regardless of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60" w:before="0" w:after="0"/>
        <w:jc w:val="both"/>
        <w:rPr>
          <w:rFonts w:ascii="Arial;sans-serif" w:hAnsi="Arial;sans-serif"/>
          <w:b/>
          <w:i w:val="false"/>
          <w:caps w:val="false"/>
          <w:smallCaps w:val="false"/>
          <w:sz w:val="16"/>
          <w:u w:val="single"/>
        </w:rPr>
      </w:pPr>
      <w:r>
        <w:rPr>
          <w:rFonts w:ascii="Arial;sans-serif" w:hAnsi="Arial;sans-serif"/>
          <w:b/>
          <w:i w:val="false"/>
          <w:caps w:val="false"/>
          <w:smallCaps w:val="false"/>
          <w:sz w:val="16"/>
          <w:u w:val="single"/>
        </w:rPr>
        <w:t>the number of shares you own.</w:t>
      </w:r>
    </w:p>
    <w:p>
      <w:pPr>
        <w:pStyle w:val="TextBody"/>
        <w:bidi w:val="0"/>
        <w:spacing w:lineRule="atLeast" w:line="16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6"/>
          <w:u w:val="single"/>
        </w:rPr>
        <w:t>Please read the attached Proxy Statement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6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6"/>
          <w:u w:val="single"/>
        </w:rPr>
        <w:t>carefully and complete and submit your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6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6"/>
          <w:u w:val="single"/>
        </w:rPr>
        <w:t>proxy card via the Internet or telephone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6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6"/>
          <w:u w:val="single"/>
        </w:rPr>
        <w:t>(as instructed on your proxy card) or sign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6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6"/>
          <w:u w:val="single"/>
        </w:rPr>
        <w:t>and date your paper proxy card as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6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6"/>
          <w:u w:val="single"/>
        </w:rPr>
        <w:t>promptly as possible and return it in the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6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z w:val="16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6"/>
          <w:u w:val="single"/>
        </w:rPr>
        <w:t>enclosed envelope.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VIRTUAL, AUDIO-ONLY MEETING HOSTED ONLINE AT</w:t>
      </w:r>
    </w:p>
    <w:p>
      <w:pPr>
        <w:pStyle w:val="TextBody"/>
        <w:bidi w:val="0"/>
        <w:spacing w:lineRule="atLeast" w:line="24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</w:rPr>
        <w:t>www.virtualshareholdermeeting.com/TTWO2026</w:t>
      </w:r>
    </w:p>
    <w:p>
      <w:pPr>
        <w:pStyle w:val="TextBody"/>
        <w:bidi w:val="0"/>
        <w:spacing w:lineRule="atLeast" w:line="200" w:before="0" w:after="0"/>
        <w:jc w:val="both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20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20"/>
          <w:u w:val="none"/>
          <w:effect w:val="none"/>
        </w:rPr>
        <w:t>ITEMS OF BUSINESS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8"/>
          <w:u w:val="none"/>
          <w:effect w:val="none"/>
        </w:rPr>
        <w:t>1.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Election of 10 directors;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8"/>
          <w:u w:val="none"/>
          <w:effect w:val="none"/>
        </w:rPr>
        <w:t>2.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Approval, on a non-binding advisory basis, of the compensation of the Company’s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caps w:val="false"/>
          <w:smallCaps w:val="false"/>
          <w:strike w:val="false"/>
          <w:dstrike w:val="false"/>
          <w:u w:val="none"/>
          <w:effect w:val="none"/>
        </w:rPr>
      </w:pPr>
      <w:r>
        <w:rPr>
          <w:caps w:val="false"/>
          <w:smallCaps w:val="false"/>
          <w:strike w:val="false"/>
          <w:dstrike w:val="false"/>
          <w:u w:val="none"/>
          <w:effect w:val="none"/>
        </w:rPr>
        <w:t>“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named executive officers” as disclosed in the attached Proxy Statement;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8"/>
          <w:u w:val="none"/>
          <w:effect w:val="none"/>
        </w:rPr>
        <w:t>3.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Approval of a certificate of amendment to the Restated Certificate of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Incorporation of Take-Two Interactive Software, Inc. to limit the liability of certain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officers as permitted by Delaware law;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8"/>
          <w:u w:val="none"/>
          <w:effect w:val="none"/>
        </w:rPr>
        <w:t>4.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Ratification of the appointment of Ernst &amp; Young LLP as our independent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registered public accounting firm for the fiscal year ending March 31, 2027; and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8"/>
          <w:u w:val="none"/>
          <w:effect w:val="none"/>
        </w:rPr>
        <w:t>5.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Other business that may properly come before the Annual Meeting or any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adjournment thereof.</w:t>
      </w:r>
    </w:p>
    <w:p>
      <w:pPr>
        <w:pStyle w:val="TextBody"/>
        <w:bidi w:val="0"/>
        <w:spacing w:lineRule="atLeast" w:line="200" w:before="0" w:after="0"/>
        <w:jc w:val="both"/>
        <w:rPr>
          <w:rFonts w:ascii="Arial;sans-serif" w:hAnsi="Arial;sans-serif"/>
          <w:b/>
          <w:i w:val="false"/>
          <w:caps w:val="false"/>
          <w:smallCaps w:val="false"/>
          <w:sz w:val="20"/>
          <w:u w:val="single"/>
        </w:rPr>
      </w:pPr>
      <w:r>
        <w:rPr>
          <w:rFonts w:ascii="Arial;sans-serif" w:hAnsi="Arial;sans-serif"/>
          <w:b/>
          <w:i w:val="false"/>
          <w:caps w:val="false"/>
          <w:smallCaps w:val="false"/>
          <w:sz w:val="20"/>
          <w:u w:val="single"/>
        </w:rPr>
        <w:t>RECORD DATE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Only shareholders of record at the close of business on July 23, 2026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are entitled to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notice of and to vote at the Annual Meeting or any adjournment thereof.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The Board of Directors believes that the election of the nominated directors, the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approval on an advisory basis of the compensation of the named executive officers,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the approval of a certificate of amendment to the Restated Certificate of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Incorporation of Take-Two Interactive Software, Inc., and the ratification of the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appointment of Ernst &amp; Young LLP are in the best interests of the Company and its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shareholders and, accordingly, recommends a vote “FOR” for each of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these proposals.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 xml:space="preserve">To attend our Annual Meeting via the Internet,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and ask questions relevant to the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business of the meeting during the Annual Meeting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, you must log in to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www.virtualshareholdermeeting.com/TTWO2026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and enter the 16-digit control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number on the Notice of Internet Availability of Proxy Materials or proxy card that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accompanied the proxy materials.</w:t>
      </w:r>
    </w:p>
    <w:p>
      <w:pPr>
        <w:pStyle w:val="TextBody"/>
        <w:bidi w:val="0"/>
        <w:spacing w:before="0" w:after="0"/>
        <w:jc w:val="left"/>
        <w:rPr>
          <w:shd w:fill="auto" w:val="clear"/>
        </w:rPr>
      </w:pPr>
      <w:r>
        <w:rPr>
          <w:shd w:fill="auto" w:val="clear"/>
        </w:rPr>
        <w:drawing>
          <wp:inline distT="0" distB="0" distL="0" distR="0">
            <wp:extent cx="2084705" cy="29210"/>
            <wp:effectExtent l="0" t="0" r="0" b="0"/>
            <wp:docPr id="22" name="Image2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22" descr=""/>
                    <pic:cNvPicPr>
                      <a:picLocks noChangeAspect="1" noChangeArrowheads="1"/>
                    </pic:cNvPicPr>
                  </pic:nvPicPr>
                  <pic:blipFill>
                    <a:blip r:embed="rId2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4705" cy="292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21" w:name="i-22"/>
      <w:bookmarkEnd w:id="21"/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>By Order of the Board of Directors,</w:t>
      </w:r>
    </w:p>
    <w:p>
      <w:pPr>
        <w:pStyle w:val="TextBody"/>
        <w:bidi w:val="0"/>
        <w:spacing w:before="0" w:after="0"/>
        <w:jc w:val="left"/>
        <w:rPr/>
      </w:pPr>
      <w:r>
        <w:rPr/>
        <w:drawing>
          <wp:inline distT="0" distB="0" distL="0" distR="0">
            <wp:extent cx="1371600" cy="389890"/>
            <wp:effectExtent l="0" t="0" r="0" b="0"/>
            <wp:docPr id="23" name="Image2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Image23" descr=""/>
                    <pic:cNvPicPr>
                      <a:picLocks noChangeAspect="1" noChangeArrowheads="1"/>
                    </pic:cNvPicPr>
                  </pic:nvPicPr>
                  <pic:blipFill>
                    <a:blip r:embed="rId2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3898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22" w:name="i-23"/>
      <w:bookmarkEnd w:id="22"/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8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8"/>
          <w:u w:val="none"/>
          <w:effect w:val="none"/>
        </w:rPr>
        <w:t>Matthew K. Breitman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>Chief Governance Officer and Corporate Secretary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July 27, 2026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38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38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38"/>
          <w:u w:val="none"/>
          <w:effect w:val="none"/>
        </w:rPr>
        <w:t>PROXY STATEMENT</w:t>
      </w:r>
    </w:p>
    <w:p>
      <w:pPr>
        <w:pStyle w:val="TextBody"/>
        <w:bidi w:val="0"/>
        <w:spacing w:lineRule="atLeast" w:line="28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28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28"/>
          <w:u w:val="none"/>
          <w:effect w:val="none"/>
        </w:rPr>
        <w:t>Annual Meeting of Shareholders to be held on September 17, 2026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This Proxy Statement is furnished in connection with the solicitation of proxies by the Board of Directors of Take-Two Interactive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Software, Inc. (the “Company” or “Take-Two”) for use at the Annual Meeting of Shareholders (the “Annual Meeting”) to be held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on September 17, 2026, at 9:00 a.m.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local time, including any adjournment or adjournments thereof, for the purposes set forth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in the accompanying Notice of Annual Meeting of Shareholders.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The Company expects to either mail or provide notice and electronic delivery of this Proxy Statement and the enclosed form of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proxy to shareholders on or about August 3, 2026.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Proxies in the accompanying form, duly executed and returned to the management of the Company and not revoked, will be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voted at the Annual Meeting. A proxy may be revoked by the shareholder of record at any time prior to the voting of the proxy by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 subsequently dated proxy, by written notification to the Secretary of the Company, or by personally withdrawing the proxy at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the Annual Meeting and voting at the Annual Meeting.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The address of the principal executive offices of the Company is 110 West 44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2"/>
          <w:u w:val="none"/>
          <w:effect w:val="none"/>
        </w:rPr>
        <w:t>th 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Street, New York, New York 10036, and our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telephone number is (646) 536-2842.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The rules of the Securities and Exchange Commission (“SEC”) require us to notify all shareholders, including those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shareholders to whom we have mailed proxy materials, of the availability of our proxy materials through the Internet.</w:t>
      </w:r>
    </w:p>
    <w:tbl>
      <w:tblPr>
        <w:tblW w:w="7059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4"/>
        <w:gridCol w:w="6781"/>
        <w:gridCol w:w="154"/>
      </w:tblGrid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78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/>
            <w:shd w:fill="64BFA6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781" w:type="dxa"/>
            <w:tcBorders/>
            <w:shd w:fill="64BFA6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shd w:fill="64BFA6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/>
            <w:shd w:fill="64BFA6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781" w:type="dxa"/>
            <w:tcBorders/>
            <w:shd w:fill="64BFA6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  <w:t>Important Notice Regarding the Availability of Proxy Materials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  <w:t>for the Shareholder Meeting to be held on September 17, 2026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sz w:val="24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  <w:t>Our Proxy Statement and 2026</w:t>
            </w:r>
            <w:r>
              <w:rPr>
                <w:caps w:val="false"/>
                <w:smallCaps w:val="false"/>
                <w:strike w:val="false"/>
                <w:dstrike w:val="false"/>
                <w:color w:val="FFFFFF"/>
                <w:sz w:val="24"/>
                <w:u w:val="none"/>
                <w:effect w:val="none"/>
              </w:rPr>
              <w:t xml:space="preserve"> 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  <w:t>Annual Report to Shareholders are available at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  <w:t>http://www.proxyvote.com</w:t>
            </w:r>
          </w:p>
        </w:tc>
        <w:tc>
          <w:tcPr>
            <w:tcW w:w="154" w:type="dxa"/>
            <w:tcBorders/>
            <w:shd w:fill="64BFA6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/>
            <w:shd w:fill="64BFA6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781" w:type="dxa"/>
            <w:tcBorders/>
            <w:shd w:fill="64BFA6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shd w:fill="64BFA6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484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11"/>
        <w:gridCol w:w="4636"/>
      </w:tblGrid>
      <w:tr>
        <w:trPr/>
        <w:tc>
          <w:tcPr>
            <w:tcW w:w="21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4</w:t>
            </w:r>
          </w:p>
        </w:tc>
        <w:tc>
          <w:tcPr>
            <w:tcW w:w="4636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sz w:val="24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TAKE-TWO INTERACTIVE SOFTWARE, INC.   |   2026</w:t>
            </w:r>
            <w:r>
              <w:rPr>
                <w:caps w:val="false"/>
                <w:smallCaps w:val="false"/>
                <w:strike w:val="false"/>
                <w:dstrike w:val="false"/>
                <w:color w:val="18333C"/>
                <w:sz w:val="24"/>
                <w:u w:val="none"/>
                <w:effect w:val="none"/>
              </w:rPr>
              <w:t xml:space="preserve"> 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Proxy Statement</w:t>
            </w:r>
          </w:p>
        </w:tc>
      </w:tr>
    </w:tbl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8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28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28"/>
          <w:u w:val="none"/>
          <w:effect w:val="none"/>
        </w:rPr>
        <w:t>TABLE OF CONTENTS</w:t>
      </w:r>
    </w:p>
    <w:tbl>
      <w:tblPr>
        <w:tblW w:w="478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4426"/>
        <w:gridCol w:w="361"/>
      </w:tblGrid>
      <w:tr>
        <w:trPr/>
        <w:tc>
          <w:tcPr>
            <w:tcW w:w="44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42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hyperlink w:anchor="ic520981c3fc6423da018a5df888014d2_22">
              <w:r>
                <w:rPr>
                  <w:rStyle w:val="InternetLink"/>
                  <w:rFonts w:ascii="Arial;sans-serif" w:hAnsi="Arial;sans-serif"/>
                  <w:b/>
                  <w:i w:val="false"/>
                  <w:caps w:val="false"/>
                  <w:smallCaps w:val="false"/>
                  <w:strike w:val="false"/>
                  <w:dstrike w:val="false"/>
                  <w:color w:val="18333C"/>
                  <w:sz w:val="20"/>
                  <w:u w:val="single"/>
                  <w:effect w:val="none"/>
                </w:rPr>
                <w:t>Proxy Summary</w:t>
              </w:r>
            </w:hyperlink>
          </w:p>
        </w:tc>
        <w:tc>
          <w:tcPr>
            <w:tcW w:w="36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hyperlink w:anchor="ic520981c3fc6423da018a5df888014d2_22">
              <w:r>
                <w:rPr>
                  <w:rStyle w:val="InternetLink"/>
                  <w:rFonts w:ascii="Arial;sans-serif" w:hAnsi="Arial;sans-serif"/>
                  <w:b/>
                  <w:i w:val="false"/>
                  <w:caps w:val="false"/>
                  <w:smallCaps w:val="false"/>
                  <w:strike w:val="false"/>
                  <w:dstrike w:val="false"/>
                  <w:color w:val="18333C"/>
                  <w:sz w:val="20"/>
                  <w:u w:val="single"/>
                  <w:effect w:val="none"/>
                </w:rPr>
                <w:t>5</w:t>
              </w:r>
            </w:hyperlink>
          </w:p>
        </w:tc>
      </w:tr>
      <w:tr>
        <w:trPr/>
        <w:tc>
          <w:tcPr>
            <w:tcW w:w="44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42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hyperlink w:anchor="ic520981c3fc6423da018a5df888014d2_34">
              <w:r>
                <w:rPr>
                  <w:rStyle w:val="InternetLink"/>
                  <w:rFonts w:ascii="Arial;sans-serif" w:hAnsi="Arial;sans-serif"/>
                  <w:b/>
                  <w:i w:val="false"/>
                  <w:caps w:val="false"/>
                  <w:smallCaps w:val="false"/>
                  <w:strike w:val="false"/>
                  <w:dstrike w:val="false"/>
                  <w:color w:val="18333C"/>
                  <w:sz w:val="20"/>
                  <w:u w:val="single"/>
                  <w:effect w:val="none"/>
                </w:rPr>
                <w:t>Proposal 1: Election of Directors</w:t>
              </w:r>
            </w:hyperlink>
          </w:p>
        </w:tc>
        <w:tc>
          <w:tcPr>
            <w:tcW w:w="36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hyperlink w:anchor="ic520981c3fc6423da018a5df888014d2_34">
              <w:r>
                <w:rPr>
                  <w:rStyle w:val="InternetLink"/>
                  <w:rFonts w:ascii="Arial;sans-serif" w:hAnsi="Arial;sans-serif"/>
                  <w:b/>
                  <w:i w:val="false"/>
                  <w:caps w:val="false"/>
                  <w:smallCaps w:val="false"/>
                  <w:strike w:val="false"/>
                  <w:dstrike w:val="false"/>
                  <w:color w:val="18333C"/>
                  <w:sz w:val="20"/>
                  <w:u w:val="single"/>
                  <w:effect w:val="none"/>
                </w:rPr>
                <w:t>9</w:t>
              </w:r>
            </w:hyperlink>
          </w:p>
        </w:tc>
      </w:tr>
      <w:tr>
        <w:trPr/>
        <w:tc>
          <w:tcPr>
            <w:tcW w:w="44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42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hyperlink w:anchor="ic520981c3fc6423da018a5df888014d2_40">
              <w:r>
                <w:rPr>
                  <w:rStyle w:val="InternetLink"/>
                  <w:rFonts w:ascii="Arial;sans-serif" w:hAnsi="Arial;sans-serif"/>
                  <w:b/>
                  <w:i w:val="false"/>
                  <w:caps w:val="false"/>
                  <w:smallCaps w:val="false"/>
                  <w:strike w:val="false"/>
                  <w:dstrike w:val="false"/>
                  <w:color w:val="18333C"/>
                  <w:sz w:val="20"/>
                  <w:u w:val="single"/>
                  <w:effect w:val="none"/>
                </w:rPr>
                <w:t>Corporate Governance and Board Practices</w:t>
              </w:r>
            </w:hyperlink>
          </w:p>
        </w:tc>
        <w:tc>
          <w:tcPr>
            <w:tcW w:w="36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hyperlink w:anchor="ic520981c3fc6423da018a5df888014d2_40">
              <w:r>
                <w:rPr>
                  <w:rStyle w:val="InternetLink"/>
                  <w:rFonts w:ascii="Arial;sans-serif" w:hAnsi="Arial;sans-serif"/>
                  <w:b/>
                  <w:i w:val="false"/>
                  <w:caps w:val="false"/>
                  <w:smallCaps w:val="false"/>
                  <w:strike w:val="false"/>
                  <w:dstrike w:val="false"/>
                  <w:color w:val="18333C"/>
                  <w:sz w:val="20"/>
                  <w:u w:val="single"/>
                  <w:effect w:val="none"/>
                </w:rPr>
                <w:t>16</w:t>
              </w:r>
            </w:hyperlink>
          </w:p>
        </w:tc>
      </w:tr>
      <w:tr>
        <w:trPr/>
        <w:tc>
          <w:tcPr>
            <w:tcW w:w="44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42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c520981c3fc6423da018a5df888014d2_43">
              <w:r>
                <w:rPr>
                  <w:rStyle w:val="InternetLink"/>
                  <w:rFonts w:ascii="Arial;sans-serif" w:hAnsi="Arial;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8"/>
                  <w:u w:val="single"/>
                  <w:effect w:val="none"/>
                </w:rPr>
                <w:t>Board Leadership Structure</w:t>
              </w:r>
            </w:hyperlink>
          </w:p>
        </w:tc>
        <w:tc>
          <w:tcPr>
            <w:tcW w:w="36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c520981c3fc6423da018a5df888014d2_43">
              <w:r>
                <w:rPr>
                  <w:rStyle w:val="InternetLink"/>
                  <w:rFonts w:ascii="Arial;sans-serif" w:hAnsi="Arial;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8"/>
                  <w:u w:val="single"/>
                  <w:effect w:val="none"/>
                </w:rPr>
                <w:t>16</w:t>
              </w:r>
            </w:hyperlink>
          </w:p>
        </w:tc>
      </w:tr>
      <w:tr>
        <w:trPr/>
        <w:tc>
          <w:tcPr>
            <w:tcW w:w="44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42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c520981c3fc6423da018a5df888014d2_46">
              <w:r>
                <w:rPr>
                  <w:rStyle w:val="InternetLink"/>
                  <w:rFonts w:ascii="Arial;sans-serif" w:hAnsi="Arial;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8"/>
                  <w:u w:val="single"/>
                  <w:effect w:val="none"/>
                </w:rPr>
                <w:t>Board Committees</w:t>
              </w:r>
            </w:hyperlink>
          </w:p>
        </w:tc>
        <w:tc>
          <w:tcPr>
            <w:tcW w:w="36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c520981c3fc6423da018a5df888014d2_46">
              <w:r>
                <w:rPr>
                  <w:rStyle w:val="InternetLink"/>
                  <w:rFonts w:ascii="Arial;sans-serif" w:hAnsi="Arial;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8"/>
                  <w:u w:val="single"/>
                  <w:effect w:val="none"/>
                </w:rPr>
                <w:t>17</w:t>
              </w:r>
            </w:hyperlink>
          </w:p>
        </w:tc>
      </w:tr>
      <w:tr>
        <w:trPr/>
        <w:tc>
          <w:tcPr>
            <w:tcW w:w="44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42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c520981c3fc6423da018a5df888014d2_49">
              <w:r>
                <w:rPr>
                  <w:rStyle w:val="InternetLink"/>
                  <w:rFonts w:ascii="Arial;sans-serif" w:hAnsi="Arial;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8"/>
                  <w:u w:val="single"/>
                  <w:effect w:val="none"/>
                </w:rPr>
                <w:t>Director Selection and Refreshment</w:t>
              </w:r>
            </w:hyperlink>
          </w:p>
        </w:tc>
        <w:tc>
          <w:tcPr>
            <w:tcW w:w="36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c520981c3fc6423da018a5df888014d2_49">
              <w:r>
                <w:rPr>
                  <w:rStyle w:val="InternetLink"/>
                  <w:rFonts w:ascii="Arial;sans-serif" w:hAnsi="Arial;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8"/>
                  <w:u w:val="single"/>
                  <w:effect w:val="none"/>
                </w:rPr>
                <w:t>18</w:t>
              </w:r>
            </w:hyperlink>
          </w:p>
        </w:tc>
      </w:tr>
      <w:tr>
        <w:trPr/>
        <w:tc>
          <w:tcPr>
            <w:tcW w:w="44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42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c520981c3fc6423da018a5df888014d2_52">
              <w:r>
                <w:rPr>
                  <w:rStyle w:val="InternetLink"/>
                  <w:rFonts w:ascii="Arial;sans-serif" w:hAnsi="Arial;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8"/>
                  <w:u w:val="single"/>
                  <w:effect w:val="none"/>
                </w:rPr>
                <w:t>Attendance at Shareholder Meetings</w:t>
              </w:r>
            </w:hyperlink>
          </w:p>
        </w:tc>
        <w:tc>
          <w:tcPr>
            <w:tcW w:w="36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c520981c3fc6423da018a5df888014d2_52">
              <w:r>
                <w:rPr>
                  <w:rStyle w:val="InternetLink"/>
                  <w:rFonts w:ascii="Arial;sans-serif" w:hAnsi="Arial;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8"/>
                  <w:u w:val="single"/>
                  <w:effect w:val="none"/>
                </w:rPr>
                <w:t>19</w:t>
              </w:r>
            </w:hyperlink>
          </w:p>
        </w:tc>
      </w:tr>
      <w:tr>
        <w:trPr/>
        <w:tc>
          <w:tcPr>
            <w:tcW w:w="44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42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c520981c3fc6423da018a5df888014d2_55">
              <w:r>
                <w:rPr>
                  <w:rStyle w:val="InternetLink"/>
                  <w:rFonts w:ascii="Arial;sans-serif" w:hAnsi="Arial;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8"/>
                  <w:u w:val="single"/>
                  <w:effect w:val="none"/>
                </w:rPr>
                <w:t>Meetings of Directors</w:t>
              </w:r>
            </w:hyperlink>
          </w:p>
        </w:tc>
        <w:tc>
          <w:tcPr>
            <w:tcW w:w="36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c520981c3fc6423da018a5df888014d2_55">
              <w:r>
                <w:rPr>
                  <w:rStyle w:val="InternetLink"/>
                  <w:rFonts w:ascii="Arial;sans-serif" w:hAnsi="Arial;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8"/>
                  <w:u w:val="single"/>
                  <w:effect w:val="none"/>
                </w:rPr>
                <w:t>19</w:t>
              </w:r>
            </w:hyperlink>
          </w:p>
        </w:tc>
      </w:tr>
      <w:tr>
        <w:trPr/>
        <w:tc>
          <w:tcPr>
            <w:tcW w:w="44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42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c520981c3fc6423da018a5df888014d2_58">
              <w:r>
                <w:rPr>
                  <w:rStyle w:val="InternetLink"/>
                  <w:rFonts w:ascii="Arial;sans-serif" w:hAnsi="Arial;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8"/>
                  <w:u w:val="single"/>
                  <w:effect w:val="none"/>
                </w:rPr>
                <w:t>Board Oversight</w:t>
              </w:r>
            </w:hyperlink>
          </w:p>
        </w:tc>
        <w:tc>
          <w:tcPr>
            <w:tcW w:w="36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c520981c3fc6423da018a5df888014d2_58">
              <w:r>
                <w:rPr>
                  <w:rStyle w:val="InternetLink"/>
                  <w:rFonts w:ascii="Arial;sans-serif" w:hAnsi="Arial;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8"/>
                  <w:u w:val="single"/>
                  <w:effect w:val="none"/>
                </w:rPr>
                <w:t>20</w:t>
              </w:r>
            </w:hyperlink>
          </w:p>
        </w:tc>
      </w:tr>
      <w:tr>
        <w:trPr/>
        <w:tc>
          <w:tcPr>
            <w:tcW w:w="44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42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c520981c3fc6423da018a5df888014d2_61">
              <w:r>
                <w:rPr>
                  <w:rStyle w:val="InternetLink"/>
                  <w:rFonts w:ascii="Arial;sans-serif" w:hAnsi="Arial;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8"/>
                  <w:u w:val="single"/>
                  <w:effect w:val="none"/>
                </w:rPr>
                <w:t>Sustainability Matters</w:t>
              </w:r>
            </w:hyperlink>
          </w:p>
        </w:tc>
        <w:tc>
          <w:tcPr>
            <w:tcW w:w="36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c520981c3fc6423da018a5df888014d2_61">
              <w:r>
                <w:rPr>
                  <w:rStyle w:val="InternetLink"/>
                  <w:rFonts w:ascii="Arial;sans-serif" w:hAnsi="Arial;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8"/>
                  <w:u w:val="single"/>
                  <w:effect w:val="none"/>
                </w:rPr>
                <w:t>21</w:t>
              </w:r>
            </w:hyperlink>
          </w:p>
        </w:tc>
      </w:tr>
      <w:tr>
        <w:trPr/>
        <w:tc>
          <w:tcPr>
            <w:tcW w:w="44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42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c520981c3fc6423da018a5df888014d2_64">
              <w:r>
                <w:rPr>
                  <w:rStyle w:val="InternetLink"/>
                  <w:rFonts w:ascii="Arial;sans-serif" w:hAnsi="Arial;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8"/>
                  <w:u w:val="single"/>
                  <w:effect w:val="none"/>
                </w:rPr>
                <w:t>Board and Governance Policies</w:t>
              </w:r>
            </w:hyperlink>
          </w:p>
        </w:tc>
        <w:tc>
          <w:tcPr>
            <w:tcW w:w="36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c520981c3fc6423da018a5df888014d2_64">
              <w:r>
                <w:rPr>
                  <w:rStyle w:val="InternetLink"/>
                  <w:rFonts w:ascii="Arial;sans-serif" w:hAnsi="Arial;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8"/>
                  <w:u w:val="single"/>
                  <w:effect w:val="none"/>
                </w:rPr>
                <w:t>22</w:t>
              </w:r>
            </w:hyperlink>
          </w:p>
        </w:tc>
      </w:tr>
      <w:tr>
        <w:trPr/>
        <w:tc>
          <w:tcPr>
            <w:tcW w:w="44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42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c520981c3fc6423da018a5df888014d2_67">
              <w:r>
                <w:rPr>
                  <w:rStyle w:val="InternetLink"/>
                  <w:rFonts w:ascii="Arial;sans-serif" w:hAnsi="Arial;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8"/>
                  <w:u w:val="single"/>
                  <w:effect w:val="none"/>
                </w:rPr>
                <w:t>Other Executive Officers</w:t>
              </w:r>
            </w:hyperlink>
          </w:p>
        </w:tc>
        <w:tc>
          <w:tcPr>
            <w:tcW w:w="36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c520981c3fc6423da018a5df888014d2_67">
              <w:r>
                <w:rPr>
                  <w:rStyle w:val="InternetLink"/>
                  <w:rFonts w:ascii="Arial;sans-serif" w:hAnsi="Arial;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8"/>
                  <w:u w:val="single"/>
                  <w:effect w:val="none"/>
                </w:rPr>
                <w:t>24</w:t>
              </w:r>
            </w:hyperlink>
          </w:p>
        </w:tc>
      </w:tr>
      <w:tr>
        <w:trPr/>
        <w:tc>
          <w:tcPr>
            <w:tcW w:w="44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42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hyperlink w:anchor="ic520981c3fc6423da018a5df888014d2_70">
              <w:r>
                <w:rPr>
                  <w:rStyle w:val="InternetLink"/>
                  <w:rFonts w:ascii="Arial;sans-serif" w:hAnsi="Arial;sans-serif"/>
                  <w:b/>
                  <w:i w:val="false"/>
                  <w:caps w:val="false"/>
                  <w:smallCaps w:val="false"/>
                  <w:strike w:val="false"/>
                  <w:dstrike w:val="false"/>
                  <w:color w:val="18333C"/>
                  <w:sz w:val="20"/>
                  <w:u w:val="single"/>
                  <w:effect w:val="none"/>
                </w:rPr>
                <w:t xml:space="preserve">Proposal 2: Non-binding Advisory Vote to </w:t>
              </w:r>
            </w:hyperlink>
          </w:p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hyperlink w:anchor="ic520981c3fc6423da018a5df888014d2_70">
              <w:r>
                <w:rPr>
                  <w:rStyle w:val="InternetLink"/>
                  <w:rFonts w:ascii="Arial;sans-serif" w:hAnsi="Arial;sans-serif"/>
                  <w:b/>
                  <w:i w:val="false"/>
                  <w:caps w:val="false"/>
                  <w:smallCaps w:val="false"/>
                  <w:strike w:val="false"/>
                  <w:dstrike w:val="false"/>
                  <w:color w:val="18333C"/>
                  <w:sz w:val="20"/>
                  <w:u w:val="single"/>
                  <w:effect w:val="none"/>
                </w:rPr>
                <w:t xml:space="preserve">Approve the Compensation of the Company’s </w:t>
              </w:r>
            </w:hyperlink>
          </w:p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hyperlink w:anchor="ic520981c3fc6423da018a5df888014d2_70">
              <w:r>
                <w:rPr>
                  <w:rStyle w:val="InternetLink"/>
                  <w:rFonts w:ascii="Arial;sans-serif" w:hAnsi="Arial;sans-serif"/>
                  <w:b/>
                  <w:i w:val="false"/>
                  <w:caps w:val="false"/>
                  <w:smallCaps w:val="false"/>
                  <w:strike w:val="false"/>
                  <w:dstrike w:val="false"/>
                  <w:color w:val="18333C"/>
                  <w:sz w:val="20"/>
                  <w:u w:val="single"/>
                  <w:effect w:val="none"/>
                </w:rPr>
                <w:t>Named Executive Officers</w:t>
              </w:r>
            </w:hyperlink>
          </w:p>
        </w:tc>
        <w:tc>
          <w:tcPr>
            <w:tcW w:w="36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hyperlink w:anchor="ic520981c3fc6423da018a5df888014d2_70">
              <w:r>
                <w:rPr>
                  <w:rStyle w:val="InternetLink"/>
                  <w:rFonts w:ascii="Arial;sans-serif" w:hAnsi="Arial;sans-serif"/>
                  <w:b/>
                  <w:i w:val="false"/>
                  <w:caps w:val="false"/>
                  <w:smallCaps w:val="false"/>
                  <w:strike w:val="false"/>
                  <w:dstrike w:val="false"/>
                  <w:color w:val="18333C"/>
                  <w:sz w:val="20"/>
                  <w:u w:val="single"/>
                  <w:effect w:val="none"/>
                </w:rPr>
                <w:t>25</w:t>
              </w:r>
            </w:hyperlink>
          </w:p>
        </w:tc>
      </w:tr>
      <w:tr>
        <w:trPr/>
        <w:tc>
          <w:tcPr>
            <w:tcW w:w="44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42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hyperlink w:anchor="ic520981c3fc6423da018a5df888014d2_73">
              <w:r>
                <w:rPr>
                  <w:rStyle w:val="InternetLink"/>
                  <w:rFonts w:ascii="Arial;sans-serif" w:hAnsi="Arial;sans-serif"/>
                  <w:b/>
                  <w:i w:val="false"/>
                  <w:caps w:val="false"/>
                  <w:smallCaps w:val="false"/>
                  <w:strike w:val="false"/>
                  <w:dstrike w:val="false"/>
                  <w:color w:val="18333C"/>
                  <w:sz w:val="20"/>
                  <w:u w:val="single"/>
                  <w:effect w:val="none"/>
                </w:rPr>
                <w:t>Compensation Discussion and Analysis</w:t>
              </w:r>
            </w:hyperlink>
          </w:p>
        </w:tc>
        <w:tc>
          <w:tcPr>
            <w:tcW w:w="36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hyperlink w:anchor="ic520981c3fc6423da018a5df888014d2_73">
              <w:r>
                <w:rPr>
                  <w:rStyle w:val="InternetLink"/>
                  <w:rFonts w:ascii="Arial;sans-serif" w:hAnsi="Arial;sans-serif"/>
                  <w:b/>
                  <w:i w:val="false"/>
                  <w:caps w:val="false"/>
                  <w:smallCaps w:val="false"/>
                  <w:strike w:val="false"/>
                  <w:dstrike w:val="false"/>
                  <w:color w:val="18333C"/>
                  <w:sz w:val="20"/>
                  <w:u w:val="single"/>
                  <w:effect w:val="none"/>
                </w:rPr>
                <w:t>26</w:t>
              </w:r>
            </w:hyperlink>
          </w:p>
        </w:tc>
      </w:tr>
      <w:tr>
        <w:trPr/>
        <w:tc>
          <w:tcPr>
            <w:tcW w:w="44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42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c520981c3fc6423da018a5df888014d2_76">
              <w:r>
                <w:rPr>
                  <w:rStyle w:val="InternetLink"/>
                  <w:rFonts w:ascii="Arial;sans-serif" w:hAnsi="Arial;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8"/>
                  <w:u w:val="single"/>
                  <w:effect w:val="none"/>
                </w:rPr>
                <w:t>Executive Summary</w:t>
              </w:r>
            </w:hyperlink>
          </w:p>
        </w:tc>
        <w:tc>
          <w:tcPr>
            <w:tcW w:w="36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c520981c3fc6423da018a5df888014d2_76">
              <w:r>
                <w:rPr>
                  <w:rStyle w:val="InternetLink"/>
                  <w:rFonts w:ascii="Arial;sans-serif" w:hAnsi="Arial;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8"/>
                  <w:u w:val="single"/>
                  <w:effect w:val="none"/>
                </w:rPr>
                <w:t>26</w:t>
              </w:r>
            </w:hyperlink>
          </w:p>
        </w:tc>
      </w:tr>
      <w:tr>
        <w:trPr/>
        <w:tc>
          <w:tcPr>
            <w:tcW w:w="44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42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c520981c3fc6423da018a5df888014d2_79">
              <w:r>
                <w:rPr>
                  <w:rStyle w:val="InternetLink"/>
                  <w:rFonts w:ascii="Arial;sans-serif" w:hAnsi="Arial;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8"/>
                  <w:u w:val="single"/>
                  <w:effect w:val="none"/>
                </w:rPr>
                <w:t>Detailed Discussion and Analysis</w:t>
              </w:r>
            </w:hyperlink>
          </w:p>
        </w:tc>
        <w:tc>
          <w:tcPr>
            <w:tcW w:w="36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c520981c3fc6423da018a5df888014d2_79">
              <w:r>
                <w:rPr>
                  <w:rStyle w:val="InternetLink"/>
                  <w:rFonts w:ascii="Arial;sans-serif" w:hAnsi="Arial;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8"/>
                  <w:u w:val="single"/>
                  <w:effect w:val="none"/>
                </w:rPr>
                <w:t>33</w:t>
              </w:r>
            </w:hyperlink>
          </w:p>
        </w:tc>
      </w:tr>
      <w:tr>
        <w:trPr/>
        <w:tc>
          <w:tcPr>
            <w:tcW w:w="44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42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c520981c3fc6423da018a5df888014d2_82">
              <w:r>
                <w:rPr>
                  <w:rStyle w:val="InternetLink"/>
                  <w:rFonts w:ascii="Arial;sans-serif" w:hAnsi="Arial;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8"/>
                  <w:u w:val="single"/>
                  <w:effect w:val="none"/>
                </w:rPr>
                <w:t xml:space="preserve">I. Objectives and Philosophy of Executive </w:t>
              </w:r>
            </w:hyperlink>
          </w:p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c520981c3fc6423da018a5df888014d2_82">
              <w:r>
                <w:rPr>
                  <w:rStyle w:val="InternetLink"/>
                  <w:rFonts w:ascii="Arial;sans-serif" w:hAnsi="Arial;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8"/>
                  <w:u w:val="single"/>
                  <w:effect w:val="none"/>
                </w:rPr>
                <w:t>Compensation</w:t>
              </w:r>
            </w:hyperlink>
          </w:p>
        </w:tc>
        <w:tc>
          <w:tcPr>
            <w:tcW w:w="36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c520981c3fc6423da018a5df888014d2_82">
              <w:r>
                <w:rPr>
                  <w:rStyle w:val="InternetLink"/>
                  <w:rFonts w:ascii="Arial;sans-serif" w:hAnsi="Arial;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8"/>
                  <w:u w:val="single"/>
                  <w:effect w:val="none"/>
                </w:rPr>
                <w:t>34</w:t>
              </w:r>
            </w:hyperlink>
          </w:p>
        </w:tc>
      </w:tr>
      <w:tr>
        <w:trPr/>
        <w:tc>
          <w:tcPr>
            <w:tcW w:w="44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42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c520981c3fc6423da018a5df888014d2_85">
              <w:r>
                <w:rPr>
                  <w:rStyle w:val="InternetLink"/>
                  <w:rFonts w:ascii="Arial;sans-serif" w:hAnsi="Arial;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8"/>
                  <w:u w:val="single"/>
                  <w:effect w:val="none"/>
                </w:rPr>
                <w:t>II. Competitive Market Positioning</w:t>
              </w:r>
            </w:hyperlink>
          </w:p>
        </w:tc>
        <w:tc>
          <w:tcPr>
            <w:tcW w:w="36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c520981c3fc6423da018a5df888014d2_85">
              <w:r>
                <w:rPr>
                  <w:rStyle w:val="InternetLink"/>
                  <w:rFonts w:ascii="Arial;sans-serif" w:hAnsi="Arial;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8"/>
                  <w:u w:val="single"/>
                  <w:effect w:val="none"/>
                </w:rPr>
                <w:t>34</w:t>
              </w:r>
            </w:hyperlink>
          </w:p>
        </w:tc>
      </w:tr>
      <w:tr>
        <w:trPr/>
        <w:tc>
          <w:tcPr>
            <w:tcW w:w="44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42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c520981c3fc6423da018a5df888014d2_88">
              <w:r>
                <w:rPr>
                  <w:rStyle w:val="InternetLink"/>
                  <w:rFonts w:ascii="Arial;sans-serif" w:hAnsi="Arial;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8"/>
                  <w:u w:val="single"/>
                  <w:effect w:val="none"/>
                </w:rPr>
                <w:t xml:space="preserve">III. Compensation to Executive Chairman and CEO </w:t>
              </w:r>
            </w:hyperlink>
          </w:p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c520981c3fc6423da018a5df888014d2_88">
              <w:r>
                <w:rPr>
                  <w:rStyle w:val="InternetLink"/>
                  <w:rFonts w:ascii="Arial;sans-serif" w:hAnsi="Arial;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8"/>
                  <w:u w:val="single"/>
                  <w:effect w:val="none"/>
                </w:rPr>
                <w:t>and President</w:t>
              </w:r>
            </w:hyperlink>
          </w:p>
        </w:tc>
        <w:tc>
          <w:tcPr>
            <w:tcW w:w="36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c520981c3fc6423da018a5df888014d2_88">
              <w:r>
                <w:rPr>
                  <w:rStyle w:val="InternetLink"/>
                  <w:rFonts w:ascii="Arial;sans-serif" w:hAnsi="Arial;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8"/>
                  <w:u w:val="single"/>
                  <w:effect w:val="none"/>
                </w:rPr>
                <w:t>35</w:t>
              </w:r>
            </w:hyperlink>
          </w:p>
        </w:tc>
      </w:tr>
      <w:tr>
        <w:trPr/>
        <w:tc>
          <w:tcPr>
            <w:tcW w:w="44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42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c520981c3fc6423da018a5df888014d2_91">
              <w:r>
                <w:rPr>
                  <w:rStyle w:val="InternetLink"/>
                  <w:rFonts w:ascii="Arial;sans-serif" w:hAnsi="Arial;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8"/>
                  <w:u w:val="single"/>
                  <w:effect w:val="none"/>
                </w:rPr>
                <w:t>IV. Other NEO Compensation</w:t>
              </w:r>
            </w:hyperlink>
          </w:p>
        </w:tc>
        <w:tc>
          <w:tcPr>
            <w:tcW w:w="36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c520981c3fc6423da018a5df888014d2_91">
              <w:r>
                <w:rPr>
                  <w:rStyle w:val="InternetLink"/>
                  <w:rFonts w:ascii="Arial;sans-serif" w:hAnsi="Arial;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8"/>
                  <w:u w:val="single"/>
                  <w:effect w:val="none"/>
                </w:rPr>
                <w:t>40</w:t>
              </w:r>
            </w:hyperlink>
          </w:p>
        </w:tc>
      </w:tr>
      <w:tr>
        <w:trPr/>
        <w:tc>
          <w:tcPr>
            <w:tcW w:w="44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42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c520981c3fc6423da018a5df888014d2_94">
              <w:r>
                <w:rPr>
                  <w:rStyle w:val="InternetLink"/>
                  <w:rFonts w:ascii="Arial;sans-serif" w:hAnsi="Arial;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8"/>
                  <w:u w:val="single"/>
                  <w:effect w:val="none"/>
                </w:rPr>
                <w:t xml:space="preserve">V. Principal Elements of Non-ZMC Related </w:t>
              </w:r>
            </w:hyperlink>
          </w:p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c520981c3fc6423da018a5df888014d2_94">
              <w:r>
                <w:rPr>
                  <w:rStyle w:val="InternetLink"/>
                  <w:rFonts w:ascii="Arial;sans-serif" w:hAnsi="Arial;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8"/>
                  <w:u w:val="single"/>
                  <w:effect w:val="none"/>
                </w:rPr>
                <w:t>Executive Compensation</w:t>
              </w:r>
            </w:hyperlink>
          </w:p>
        </w:tc>
        <w:tc>
          <w:tcPr>
            <w:tcW w:w="36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c520981c3fc6423da018a5df888014d2_94">
              <w:r>
                <w:rPr>
                  <w:rStyle w:val="InternetLink"/>
                  <w:rFonts w:ascii="Arial;sans-serif" w:hAnsi="Arial;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8"/>
                  <w:u w:val="single"/>
                  <w:effect w:val="none"/>
                </w:rPr>
                <w:t>41</w:t>
              </w:r>
            </w:hyperlink>
          </w:p>
        </w:tc>
      </w:tr>
      <w:tr>
        <w:trPr/>
        <w:tc>
          <w:tcPr>
            <w:tcW w:w="44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42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c520981c3fc6423da018a5df888014d2_97">
              <w:r>
                <w:rPr>
                  <w:rStyle w:val="InternetLink"/>
                  <w:rFonts w:ascii="Arial;sans-serif" w:hAnsi="Arial;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8"/>
                  <w:u w:val="single"/>
                  <w:effect w:val="none"/>
                </w:rPr>
                <w:t>VI. Operation of the Compensation Committee</w:t>
              </w:r>
            </w:hyperlink>
          </w:p>
        </w:tc>
        <w:tc>
          <w:tcPr>
            <w:tcW w:w="36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c520981c3fc6423da018a5df888014d2_97">
              <w:r>
                <w:rPr>
                  <w:rStyle w:val="InternetLink"/>
                  <w:rFonts w:ascii="Arial;sans-serif" w:hAnsi="Arial;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8"/>
                  <w:u w:val="single"/>
                  <w:effect w:val="none"/>
                </w:rPr>
                <w:t>46</w:t>
              </w:r>
            </w:hyperlink>
          </w:p>
        </w:tc>
      </w:tr>
      <w:tr>
        <w:trPr/>
        <w:tc>
          <w:tcPr>
            <w:tcW w:w="44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42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c520981c3fc6423da018a5df888014d2_100">
              <w:r>
                <w:rPr>
                  <w:rStyle w:val="InternetLink"/>
                  <w:rFonts w:ascii="Arial;sans-serif" w:hAnsi="Arial;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8"/>
                  <w:u w:val="single"/>
                  <w:effect w:val="none"/>
                </w:rPr>
                <w:t>VII. Compensation Governance Practices</w:t>
              </w:r>
            </w:hyperlink>
          </w:p>
        </w:tc>
        <w:tc>
          <w:tcPr>
            <w:tcW w:w="36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c520981c3fc6423da018a5df888014d2_100">
              <w:r>
                <w:rPr>
                  <w:rStyle w:val="InternetLink"/>
                  <w:rFonts w:ascii="Arial;sans-serif" w:hAnsi="Arial;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8"/>
                  <w:u w:val="single"/>
                  <w:effect w:val="none"/>
                </w:rPr>
                <w:t>46</w:t>
              </w:r>
            </w:hyperlink>
          </w:p>
        </w:tc>
      </w:tr>
      <w:tr>
        <w:trPr/>
        <w:tc>
          <w:tcPr>
            <w:tcW w:w="44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42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c520981c3fc6423da018a5df888014d2_103">
              <w:r>
                <w:rPr>
                  <w:rStyle w:val="InternetLink"/>
                  <w:rFonts w:ascii="Arial;sans-serif" w:hAnsi="Arial;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8"/>
                  <w:u w:val="single"/>
                  <w:effect w:val="none"/>
                </w:rPr>
                <w:t xml:space="preserve">Report of the Compensation Committee of the Board </w:t>
              </w:r>
            </w:hyperlink>
          </w:p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c520981c3fc6423da018a5df888014d2_103">
              <w:r>
                <w:rPr>
                  <w:rStyle w:val="InternetLink"/>
                  <w:rFonts w:ascii="Arial;sans-serif" w:hAnsi="Arial;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8"/>
                  <w:u w:val="single"/>
                  <w:effect w:val="none"/>
                </w:rPr>
                <w:t>of Directors</w:t>
              </w:r>
            </w:hyperlink>
          </w:p>
        </w:tc>
        <w:tc>
          <w:tcPr>
            <w:tcW w:w="36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c520981c3fc6423da018a5df888014d2_103">
              <w:r>
                <w:rPr>
                  <w:rStyle w:val="InternetLink"/>
                  <w:rFonts w:ascii="Arial;sans-serif" w:hAnsi="Arial;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8"/>
                  <w:u w:val="single"/>
                  <w:effect w:val="none"/>
                </w:rPr>
                <w:t>48</w:t>
              </w:r>
            </w:hyperlink>
          </w:p>
        </w:tc>
      </w:tr>
      <w:tr>
        <w:trPr/>
        <w:tc>
          <w:tcPr>
            <w:tcW w:w="44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42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c520981c3fc6423da018a5df888014d2_106">
              <w:r>
                <w:rPr>
                  <w:rStyle w:val="InternetLink"/>
                  <w:rFonts w:ascii="Arial;sans-serif" w:hAnsi="Arial;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8"/>
                  <w:u w:val="single"/>
                  <w:effect w:val="none"/>
                </w:rPr>
                <w:t>Risk Assessment of Overall Compensation Program</w:t>
              </w:r>
            </w:hyperlink>
          </w:p>
        </w:tc>
        <w:tc>
          <w:tcPr>
            <w:tcW w:w="36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hyperlink w:anchor="ic520981c3fc6423da018a5df888014d2_106">
              <w:r>
                <w:rPr>
                  <w:rStyle w:val="InternetLink"/>
                  <w:rFonts w:ascii="Arial;sans-serif" w:hAnsi="Arial;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8"/>
                  <w:u w:val="single"/>
                  <w:effect w:val="none"/>
                </w:rPr>
                <w:t>48</w:t>
              </w:r>
            </w:hyperlink>
          </w:p>
        </w:tc>
      </w:tr>
      <w:tr>
        <w:trPr/>
        <w:tc>
          <w:tcPr>
            <w:tcW w:w="44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42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hyperlink w:anchor="ic520981c3fc6423da018a5df888014d2_109">
              <w:r>
                <w:rPr>
                  <w:rStyle w:val="InternetLink"/>
                  <w:rFonts w:ascii="Arial;sans-serif" w:hAnsi="Arial;sans-serif"/>
                  <w:b/>
                  <w:i w:val="false"/>
                  <w:caps w:val="false"/>
                  <w:smallCaps w:val="false"/>
                  <w:strike w:val="false"/>
                  <w:dstrike w:val="false"/>
                  <w:color w:val="18333C"/>
                  <w:sz w:val="20"/>
                  <w:u w:val="single"/>
                  <w:effect w:val="none"/>
                </w:rPr>
                <w:t>Executive Compensation</w:t>
              </w:r>
            </w:hyperlink>
          </w:p>
        </w:tc>
        <w:tc>
          <w:tcPr>
            <w:tcW w:w="36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hyperlink w:anchor="ic520981c3fc6423da018a5df888014d2_109">
              <w:r>
                <w:rPr>
                  <w:rStyle w:val="InternetLink"/>
                  <w:rFonts w:ascii="Arial;sans-serif" w:hAnsi="Arial;sans-serif"/>
                  <w:b/>
                  <w:i w:val="false"/>
                  <w:caps w:val="false"/>
                  <w:smallCaps w:val="false"/>
                  <w:strike w:val="false"/>
                  <w:dstrike w:val="false"/>
                  <w:color w:val="18333C"/>
                  <w:sz w:val="20"/>
                  <w:u w:val="single"/>
                  <w:effect w:val="none"/>
                </w:rPr>
                <w:t>49</w:t>
              </w:r>
            </w:hyperlink>
          </w:p>
        </w:tc>
      </w:tr>
    </w:tbl>
    <w:tbl>
      <w:tblPr>
        <w:tblW w:w="4652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4201"/>
        <w:gridCol w:w="451"/>
      </w:tblGrid>
      <w:tr>
        <w:trPr/>
        <w:tc>
          <w:tcPr>
            <w:tcW w:w="420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20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hyperlink w:anchor="ic520981c3fc6423da018a5df888014d2_154">
              <w:r>
                <w:rPr>
                  <w:rStyle w:val="InternetLink"/>
                  <w:rFonts w:ascii="Arial;sans-serif" w:hAnsi="Arial;sans-serif"/>
                  <w:b/>
                  <w:i w:val="false"/>
                  <w:caps w:val="false"/>
                  <w:smallCaps w:val="false"/>
                  <w:strike w:val="false"/>
                  <w:dstrike w:val="false"/>
                  <w:color w:val="18333C"/>
                  <w:sz w:val="20"/>
                  <w:u w:val="single"/>
                  <w:effect w:val="none"/>
                </w:rPr>
                <w:t xml:space="preserve">Voting Security Ownership of Certain </w:t>
              </w:r>
            </w:hyperlink>
          </w:p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hyperlink w:anchor="ic520981c3fc6423da018a5df888014d2_154">
              <w:r>
                <w:rPr>
                  <w:rStyle w:val="InternetLink"/>
                  <w:rFonts w:ascii="Arial;sans-serif" w:hAnsi="Arial;sans-serif"/>
                  <w:b/>
                  <w:i w:val="false"/>
                  <w:caps w:val="false"/>
                  <w:smallCaps w:val="false"/>
                  <w:strike w:val="false"/>
                  <w:dstrike w:val="false"/>
                  <w:color w:val="18333C"/>
                  <w:sz w:val="20"/>
                  <w:u w:val="single"/>
                  <w:effect w:val="none"/>
                </w:rPr>
                <w:t>Beneficial Owners and Management</w:t>
              </w:r>
            </w:hyperlink>
          </w:p>
        </w:tc>
        <w:tc>
          <w:tcPr>
            <w:tcW w:w="45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hyperlink w:anchor="ic520981c3fc6423da018a5df888014d2_154">
              <w:r>
                <w:rPr>
                  <w:rStyle w:val="InternetLink"/>
                  <w:rFonts w:ascii="Arial;sans-serif" w:hAnsi="Arial;sans-serif"/>
                  <w:b/>
                  <w:i w:val="false"/>
                  <w:caps w:val="false"/>
                  <w:smallCaps w:val="false"/>
                  <w:strike w:val="false"/>
                  <w:dstrike w:val="false"/>
                  <w:color w:val="18333C"/>
                  <w:sz w:val="20"/>
                  <w:u w:val="single"/>
                  <w:effect w:val="none"/>
                </w:rPr>
                <w:t>68</w:t>
              </w:r>
            </w:hyperlink>
          </w:p>
        </w:tc>
      </w:tr>
      <w:tr>
        <w:trPr/>
        <w:tc>
          <w:tcPr>
            <w:tcW w:w="420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20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hyperlink w:anchor="ic520981c3fc6423da018a5df888014d2_157">
              <w:r>
                <w:rPr>
                  <w:rStyle w:val="InternetLink"/>
                  <w:rFonts w:ascii="Arial;sans-serif" w:hAnsi="Arial;sans-serif"/>
                  <w:b/>
                  <w:i w:val="false"/>
                  <w:caps w:val="false"/>
                  <w:smallCaps w:val="false"/>
                  <w:strike w:val="false"/>
                  <w:dstrike w:val="false"/>
                  <w:color w:val="18333C"/>
                  <w:sz w:val="20"/>
                  <w:u w:val="single"/>
                  <w:effect w:val="none"/>
                </w:rPr>
                <w:t xml:space="preserve">Certain Relationships and </w:t>
              </w:r>
            </w:hyperlink>
          </w:p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hyperlink w:anchor="ic520981c3fc6423da018a5df888014d2_157">
              <w:r>
                <w:rPr>
                  <w:rStyle w:val="InternetLink"/>
                  <w:rFonts w:ascii="Arial;sans-serif" w:hAnsi="Arial;sans-serif"/>
                  <w:b/>
                  <w:i w:val="false"/>
                  <w:caps w:val="false"/>
                  <w:smallCaps w:val="false"/>
                  <w:strike w:val="false"/>
                  <w:dstrike w:val="false"/>
                  <w:color w:val="18333C"/>
                  <w:sz w:val="20"/>
                  <w:u w:val="single"/>
                  <w:effect w:val="none"/>
                </w:rPr>
                <w:t>Related Transactions</w:t>
              </w:r>
            </w:hyperlink>
          </w:p>
        </w:tc>
        <w:tc>
          <w:tcPr>
            <w:tcW w:w="45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hyperlink w:anchor="ic520981c3fc6423da018a5df888014d2_157">
              <w:r>
                <w:rPr>
                  <w:rStyle w:val="InternetLink"/>
                  <w:rFonts w:ascii="Arial;sans-serif" w:hAnsi="Arial;sans-serif"/>
                  <w:b/>
                  <w:i w:val="false"/>
                  <w:caps w:val="false"/>
                  <w:smallCaps w:val="false"/>
                  <w:strike w:val="false"/>
                  <w:dstrike w:val="false"/>
                  <w:color w:val="18333C"/>
                  <w:sz w:val="20"/>
                  <w:u w:val="single"/>
                  <w:effect w:val="none"/>
                </w:rPr>
                <w:t>70</w:t>
              </w:r>
            </w:hyperlink>
          </w:p>
        </w:tc>
      </w:tr>
      <w:tr>
        <w:trPr/>
        <w:tc>
          <w:tcPr>
            <w:tcW w:w="420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20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hyperlink w:anchor="ic520981c3fc6423da018a5df888014d2_169">
              <w:r>
                <w:rPr>
                  <w:rStyle w:val="InternetLink"/>
                  <w:rFonts w:ascii="Arial;sans-serif" w:hAnsi="Arial;sans-serif"/>
                  <w:b/>
                  <w:i w:val="false"/>
                  <w:caps w:val="false"/>
                  <w:smallCaps w:val="false"/>
                  <w:strike w:val="false"/>
                  <w:dstrike w:val="false"/>
                  <w:color w:val="18333C"/>
                  <w:sz w:val="20"/>
                  <w:u w:val="single"/>
                  <w:effect w:val="none"/>
                </w:rPr>
                <w:t xml:space="preserve">Section 16(a) Beneficial </w:t>
              </w:r>
            </w:hyperlink>
          </w:p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hyperlink w:anchor="ic520981c3fc6423da018a5df888014d2_169">
              <w:r>
                <w:rPr>
                  <w:rStyle w:val="InternetLink"/>
                  <w:rFonts w:ascii="Arial;sans-serif" w:hAnsi="Arial;sans-serif"/>
                  <w:b/>
                  <w:i w:val="false"/>
                  <w:caps w:val="false"/>
                  <w:smallCaps w:val="false"/>
                  <w:strike w:val="false"/>
                  <w:dstrike w:val="false"/>
                  <w:color w:val="18333C"/>
                  <w:sz w:val="20"/>
                  <w:u w:val="single"/>
                  <w:effect w:val="none"/>
                </w:rPr>
                <w:t>Ownership Compliance</w:t>
              </w:r>
            </w:hyperlink>
          </w:p>
        </w:tc>
        <w:tc>
          <w:tcPr>
            <w:tcW w:w="45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hyperlink w:anchor="ic520981c3fc6423da018a5df888014d2_169">
              <w:r>
                <w:rPr>
                  <w:rStyle w:val="InternetLink"/>
                  <w:rFonts w:ascii="Arial;sans-serif" w:hAnsi="Arial;sans-serif"/>
                  <w:b/>
                  <w:i w:val="false"/>
                  <w:caps w:val="false"/>
                  <w:smallCaps w:val="false"/>
                  <w:strike w:val="false"/>
                  <w:dstrike w:val="false"/>
                  <w:color w:val="18333C"/>
                  <w:sz w:val="20"/>
                  <w:u w:val="single"/>
                  <w:effect w:val="none"/>
                </w:rPr>
                <w:t>77</w:t>
              </w:r>
            </w:hyperlink>
          </w:p>
        </w:tc>
      </w:tr>
      <w:tr>
        <w:trPr/>
        <w:tc>
          <w:tcPr>
            <w:tcW w:w="420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20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hyperlink w:anchor="ic520981c3fc6423da018a5df888014d2_172">
              <w:r>
                <w:rPr>
                  <w:rStyle w:val="InternetLink"/>
                  <w:rFonts w:ascii="Arial;sans-serif" w:hAnsi="Arial;sans-serif"/>
                  <w:b/>
                  <w:i w:val="false"/>
                  <w:caps w:val="false"/>
                  <w:smallCaps w:val="false"/>
                  <w:strike w:val="false"/>
                  <w:dstrike w:val="false"/>
                  <w:color w:val="18333C"/>
                  <w:sz w:val="20"/>
                  <w:u w:val="single"/>
                  <w:effect w:val="none"/>
                </w:rPr>
                <w:t xml:space="preserve">Proposal 3: Vote to Approve a Certificate of </w:t>
              </w:r>
            </w:hyperlink>
          </w:p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hyperlink w:anchor="ic520981c3fc6423da018a5df888014d2_172">
              <w:r>
                <w:rPr>
                  <w:rStyle w:val="InternetLink"/>
                  <w:rFonts w:ascii="Arial;sans-serif" w:hAnsi="Arial;sans-serif"/>
                  <w:b/>
                  <w:i w:val="false"/>
                  <w:caps w:val="false"/>
                  <w:smallCaps w:val="false"/>
                  <w:strike w:val="false"/>
                  <w:dstrike w:val="false"/>
                  <w:color w:val="18333C"/>
                  <w:sz w:val="20"/>
                  <w:u w:val="single"/>
                  <w:effect w:val="none"/>
                </w:rPr>
                <w:t xml:space="preserve">Amendment to the Restated Certificate of </w:t>
              </w:r>
            </w:hyperlink>
          </w:p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hyperlink w:anchor="ic520981c3fc6423da018a5df888014d2_172">
              <w:r>
                <w:rPr>
                  <w:rStyle w:val="InternetLink"/>
                  <w:rFonts w:ascii="Arial;sans-serif" w:hAnsi="Arial;sans-serif"/>
                  <w:b/>
                  <w:i w:val="false"/>
                  <w:caps w:val="false"/>
                  <w:smallCaps w:val="false"/>
                  <w:strike w:val="false"/>
                  <w:dstrike w:val="false"/>
                  <w:color w:val="18333C"/>
                  <w:sz w:val="20"/>
                  <w:u w:val="single"/>
                  <w:effect w:val="none"/>
                </w:rPr>
                <w:t xml:space="preserve">Incorporation of the Company to Limit the </w:t>
              </w:r>
            </w:hyperlink>
          </w:p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hyperlink w:anchor="ic520981c3fc6423da018a5df888014d2_172">
              <w:r>
                <w:rPr>
                  <w:rStyle w:val="InternetLink"/>
                  <w:rFonts w:ascii="Arial;sans-serif" w:hAnsi="Arial;sans-serif"/>
                  <w:b/>
                  <w:i w:val="false"/>
                  <w:caps w:val="false"/>
                  <w:smallCaps w:val="false"/>
                  <w:strike w:val="false"/>
                  <w:dstrike w:val="false"/>
                  <w:color w:val="18333C"/>
                  <w:sz w:val="20"/>
                  <w:u w:val="single"/>
                  <w:effect w:val="none"/>
                </w:rPr>
                <w:t xml:space="preserve">Liability of Certain Officers as Permitted by </w:t>
              </w:r>
            </w:hyperlink>
          </w:p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hyperlink w:anchor="ic520981c3fc6423da018a5df888014d2_172">
              <w:r>
                <w:rPr>
                  <w:rStyle w:val="InternetLink"/>
                  <w:rFonts w:ascii="Arial;sans-serif" w:hAnsi="Arial;sans-serif"/>
                  <w:b/>
                  <w:i w:val="false"/>
                  <w:caps w:val="false"/>
                  <w:smallCaps w:val="false"/>
                  <w:strike w:val="false"/>
                  <w:dstrike w:val="false"/>
                  <w:color w:val="18333C"/>
                  <w:sz w:val="20"/>
                  <w:u w:val="single"/>
                  <w:effect w:val="none"/>
                </w:rPr>
                <w:t>Delaware Law</w:t>
              </w:r>
            </w:hyperlink>
          </w:p>
        </w:tc>
        <w:tc>
          <w:tcPr>
            <w:tcW w:w="45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hyperlink w:anchor="ic520981c3fc6423da018a5df888014d2_172">
              <w:r>
                <w:rPr>
                  <w:rStyle w:val="InternetLink"/>
                  <w:rFonts w:ascii="Arial;sans-serif" w:hAnsi="Arial;sans-serif"/>
                  <w:b/>
                  <w:i w:val="false"/>
                  <w:caps w:val="false"/>
                  <w:smallCaps w:val="false"/>
                  <w:strike w:val="false"/>
                  <w:dstrike w:val="false"/>
                  <w:color w:val="18333C"/>
                  <w:sz w:val="20"/>
                  <w:u w:val="single"/>
                  <w:effect w:val="none"/>
                </w:rPr>
                <w:t>78</w:t>
              </w:r>
            </w:hyperlink>
          </w:p>
        </w:tc>
      </w:tr>
      <w:tr>
        <w:trPr/>
        <w:tc>
          <w:tcPr>
            <w:tcW w:w="420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20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hyperlink w:anchor="ic520981c3fc6423da018a5df888014d2_175">
              <w:r>
                <w:rPr>
                  <w:rStyle w:val="InternetLink"/>
                  <w:rFonts w:ascii="Arial;sans-serif" w:hAnsi="Arial;sans-serif"/>
                  <w:b/>
                  <w:i w:val="false"/>
                  <w:caps w:val="false"/>
                  <w:smallCaps w:val="false"/>
                  <w:strike w:val="false"/>
                  <w:dstrike w:val="false"/>
                  <w:color w:val="18333C"/>
                  <w:sz w:val="20"/>
                  <w:u w:val="single"/>
                  <w:effect w:val="none"/>
                </w:rPr>
                <w:t xml:space="preserve">Proposal 4: Ratification of Appointment of </w:t>
              </w:r>
            </w:hyperlink>
          </w:p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hyperlink w:anchor="ic520981c3fc6423da018a5df888014d2_175">
              <w:r>
                <w:rPr>
                  <w:rStyle w:val="InternetLink"/>
                  <w:rFonts w:ascii="Arial;sans-serif" w:hAnsi="Arial;sans-serif"/>
                  <w:b/>
                  <w:i w:val="false"/>
                  <w:caps w:val="false"/>
                  <w:smallCaps w:val="false"/>
                  <w:strike w:val="false"/>
                  <w:dstrike w:val="false"/>
                  <w:color w:val="18333C"/>
                  <w:sz w:val="20"/>
                  <w:u w:val="single"/>
                  <w:effect w:val="none"/>
                </w:rPr>
                <w:t xml:space="preserve">Independent Registered Public </w:t>
              </w:r>
            </w:hyperlink>
          </w:p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hyperlink w:anchor="ic520981c3fc6423da018a5df888014d2_175">
              <w:r>
                <w:rPr>
                  <w:rStyle w:val="InternetLink"/>
                  <w:rFonts w:ascii="Arial;sans-serif" w:hAnsi="Arial;sans-serif"/>
                  <w:b/>
                  <w:i w:val="false"/>
                  <w:caps w:val="false"/>
                  <w:smallCaps w:val="false"/>
                  <w:strike w:val="false"/>
                  <w:dstrike w:val="false"/>
                  <w:color w:val="18333C"/>
                  <w:sz w:val="20"/>
                  <w:u w:val="single"/>
                  <w:effect w:val="none"/>
                </w:rPr>
                <w:t>Accounting Firm</w:t>
              </w:r>
            </w:hyperlink>
          </w:p>
        </w:tc>
        <w:tc>
          <w:tcPr>
            <w:tcW w:w="45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hyperlink w:anchor="ic520981c3fc6423da018a5df888014d2_175">
              <w:r>
                <w:rPr>
                  <w:rStyle w:val="InternetLink"/>
                  <w:rFonts w:ascii="Arial;sans-serif" w:hAnsi="Arial;sans-serif"/>
                  <w:b/>
                  <w:i w:val="false"/>
                  <w:caps w:val="false"/>
                  <w:smallCaps w:val="false"/>
                  <w:strike w:val="false"/>
                  <w:dstrike w:val="false"/>
                  <w:color w:val="18333C"/>
                  <w:sz w:val="20"/>
                  <w:u w:val="single"/>
                  <w:effect w:val="none"/>
                </w:rPr>
                <w:t>80</w:t>
              </w:r>
            </w:hyperlink>
          </w:p>
        </w:tc>
      </w:tr>
      <w:tr>
        <w:trPr/>
        <w:tc>
          <w:tcPr>
            <w:tcW w:w="420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20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hyperlink w:anchor="ic520981c3fc6423da018a5df888014d2_178">
              <w:r>
                <w:rPr>
                  <w:rStyle w:val="InternetLink"/>
                  <w:rFonts w:ascii="Arial;sans-serif" w:hAnsi="Arial;sans-serif"/>
                  <w:b/>
                  <w:i w:val="false"/>
                  <w:caps w:val="false"/>
                  <w:smallCaps w:val="false"/>
                  <w:strike w:val="false"/>
                  <w:dstrike w:val="false"/>
                  <w:color w:val="18333C"/>
                  <w:sz w:val="20"/>
                  <w:u w:val="single"/>
                  <w:effect w:val="none"/>
                </w:rPr>
                <w:t>Independent Registered Public Accountants</w:t>
              </w:r>
            </w:hyperlink>
          </w:p>
        </w:tc>
        <w:tc>
          <w:tcPr>
            <w:tcW w:w="45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hyperlink w:anchor="ic520981c3fc6423da018a5df888014d2_178">
              <w:r>
                <w:rPr>
                  <w:rStyle w:val="InternetLink"/>
                  <w:rFonts w:ascii="Arial;sans-serif" w:hAnsi="Arial;sans-serif"/>
                  <w:b/>
                  <w:i w:val="false"/>
                  <w:caps w:val="false"/>
                  <w:smallCaps w:val="false"/>
                  <w:strike w:val="false"/>
                  <w:dstrike w:val="false"/>
                  <w:color w:val="18333C"/>
                  <w:sz w:val="20"/>
                  <w:u w:val="single"/>
                  <w:effect w:val="none"/>
                </w:rPr>
                <w:t>81</w:t>
              </w:r>
            </w:hyperlink>
          </w:p>
        </w:tc>
      </w:tr>
      <w:tr>
        <w:trPr/>
        <w:tc>
          <w:tcPr>
            <w:tcW w:w="420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20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hyperlink w:anchor="ic520981c3fc6423da018a5df888014d2_181">
              <w:r>
                <w:rPr>
                  <w:rStyle w:val="InternetLink"/>
                  <w:rFonts w:ascii="Arial;sans-serif" w:hAnsi="Arial;sans-serif"/>
                  <w:b/>
                  <w:i w:val="false"/>
                  <w:caps w:val="false"/>
                  <w:smallCaps w:val="false"/>
                  <w:strike w:val="false"/>
                  <w:dstrike w:val="false"/>
                  <w:color w:val="18333C"/>
                  <w:sz w:val="20"/>
                  <w:u w:val="single"/>
                  <w:effect w:val="none"/>
                </w:rPr>
                <w:t xml:space="preserve">Report of the Audit Committee of the Board </w:t>
              </w:r>
            </w:hyperlink>
          </w:p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hyperlink w:anchor="ic520981c3fc6423da018a5df888014d2_181">
              <w:r>
                <w:rPr>
                  <w:rStyle w:val="InternetLink"/>
                  <w:rFonts w:ascii="Arial;sans-serif" w:hAnsi="Arial;sans-serif"/>
                  <w:b/>
                  <w:i w:val="false"/>
                  <w:caps w:val="false"/>
                  <w:smallCaps w:val="false"/>
                  <w:strike w:val="false"/>
                  <w:dstrike w:val="false"/>
                  <w:color w:val="18333C"/>
                  <w:sz w:val="20"/>
                  <w:u w:val="single"/>
                  <w:effect w:val="none"/>
                </w:rPr>
                <w:t>of Directors</w:t>
              </w:r>
            </w:hyperlink>
          </w:p>
        </w:tc>
        <w:tc>
          <w:tcPr>
            <w:tcW w:w="45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hyperlink w:anchor="ic520981c3fc6423da018a5df888014d2_181">
              <w:r>
                <w:rPr>
                  <w:rStyle w:val="InternetLink"/>
                  <w:rFonts w:ascii="Arial;sans-serif" w:hAnsi="Arial;sans-serif"/>
                  <w:b/>
                  <w:i w:val="false"/>
                  <w:caps w:val="false"/>
                  <w:smallCaps w:val="false"/>
                  <w:strike w:val="false"/>
                  <w:dstrike w:val="false"/>
                  <w:color w:val="18333C"/>
                  <w:sz w:val="20"/>
                  <w:u w:val="single"/>
                  <w:effect w:val="none"/>
                </w:rPr>
                <w:t>82</w:t>
              </w:r>
            </w:hyperlink>
          </w:p>
        </w:tc>
      </w:tr>
      <w:tr>
        <w:trPr/>
        <w:tc>
          <w:tcPr>
            <w:tcW w:w="420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20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hyperlink w:anchor="ic520981c3fc6423da018a5df888014d2_184">
              <w:r>
                <w:rPr>
                  <w:rStyle w:val="InternetLink"/>
                  <w:rFonts w:ascii="Arial;sans-serif" w:hAnsi="Arial;sans-serif"/>
                  <w:b/>
                  <w:i w:val="false"/>
                  <w:caps w:val="false"/>
                  <w:smallCaps w:val="false"/>
                  <w:strike w:val="false"/>
                  <w:dstrike w:val="false"/>
                  <w:color w:val="18333C"/>
                  <w:sz w:val="20"/>
                  <w:u w:val="single"/>
                  <w:effect w:val="none"/>
                </w:rPr>
                <w:t xml:space="preserve">Cautionary Note About Forward-Looking </w:t>
              </w:r>
            </w:hyperlink>
          </w:p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hyperlink w:anchor="ic520981c3fc6423da018a5df888014d2_184">
              <w:r>
                <w:rPr>
                  <w:rStyle w:val="InternetLink"/>
                  <w:rFonts w:ascii="Arial;sans-serif" w:hAnsi="Arial;sans-serif"/>
                  <w:b/>
                  <w:i w:val="false"/>
                  <w:caps w:val="false"/>
                  <w:smallCaps w:val="false"/>
                  <w:strike w:val="false"/>
                  <w:dstrike w:val="false"/>
                  <w:color w:val="18333C"/>
                  <w:sz w:val="20"/>
                  <w:u w:val="single"/>
                  <w:effect w:val="none"/>
                </w:rPr>
                <w:t>Statements</w:t>
              </w:r>
            </w:hyperlink>
          </w:p>
        </w:tc>
        <w:tc>
          <w:tcPr>
            <w:tcW w:w="45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hyperlink w:anchor="ic520981c3fc6423da018a5df888014d2_184">
              <w:r>
                <w:rPr>
                  <w:rStyle w:val="InternetLink"/>
                  <w:rFonts w:ascii="Arial;sans-serif" w:hAnsi="Arial;sans-serif"/>
                  <w:b/>
                  <w:i w:val="false"/>
                  <w:caps w:val="false"/>
                  <w:smallCaps w:val="false"/>
                  <w:strike w:val="false"/>
                  <w:dstrike w:val="false"/>
                  <w:color w:val="18333C"/>
                  <w:sz w:val="20"/>
                  <w:u w:val="single"/>
                  <w:effect w:val="none"/>
                </w:rPr>
                <w:t>83</w:t>
              </w:r>
            </w:hyperlink>
          </w:p>
        </w:tc>
      </w:tr>
      <w:tr>
        <w:trPr/>
        <w:tc>
          <w:tcPr>
            <w:tcW w:w="420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20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hyperlink w:anchor="ic520981c3fc6423da018a5df888014d2_187">
              <w:r>
                <w:rPr>
                  <w:rStyle w:val="InternetLink"/>
                  <w:rFonts w:ascii="Arial;sans-serif" w:hAnsi="Arial;sans-serif"/>
                  <w:b/>
                  <w:i w:val="false"/>
                  <w:caps w:val="false"/>
                  <w:smallCaps w:val="false"/>
                  <w:strike w:val="false"/>
                  <w:dstrike w:val="false"/>
                  <w:color w:val="18333C"/>
                  <w:sz w:val="20"/>
                  <w:u w:val="single"/>
                  <w:effect w:val="none"/>
                </w:rPr>
                <w:t xml:space="preserve">Information about the Annual Meeting </w:t>
              </w:r>
            </w:hyperlink>
          </w:p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hyperlink w:anchor="ic520981c3fc6423da018a5df888014d2_187">
              <w:r>
                <w:rPr>
                  <w:rStyle w:val="InternetLink"/>
                  <w:rFonts w:ascii="Arial;sans-serif" w:hAnsi="Arial;sans-serif"/>
                  <w:b/>
                  <w:i w:val="false"/>
                  <w:caps w:val="false"/>
                  <w:smallCaps w:val="false"/>
                  <w:strike w:val="false"/>
                  <w:dstrike w:val="false"/>
                  <w:color w:val="18333C"/>
                  <w:sz w:val="20"/>
                  <w:u w:val="single"/>
                  <w:effect w:val="none"/>
                </w:rPr>
                <w:t>and Voting</w:t>
              </w:r>
            </w:hyperlink>
          </w:p>
        </w:tc>
        <w:tc>
          <w:tcPr>
            <w:tcW w:w="45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hyperlink w:anchor="ic520981c3fc6423da018a5df888014d2_187">
              <w:r>
                <w:rPr>
                  <w:rStyle w:val="InternetLink"/>
                  <w:rFonts w:ascii="Arial;sans-serif" w:hAnsi="Arial;sans-serif"/>
                  <w:b/>
                  <w:i w:val="false"/>
                  <w:caps w:val="false"/>
                  <w:smallCaps w:val="false"/>
                  <w:strike w:val="false"/>
                  <w:dstrike w:val="false"/>
                  <w:color w:val="18333C"/>
                  <w:sz w:val="20"/>
                  <w:u w:val="single"/>
                  <w:effect w:val="none"/>
                </w:rPr>
                <w:t>83</w:t>
              </w:r>
            </w:hyperlink>
          </w:p>
        </w:tc>
      </w:tr>
      <w:tr>
        <w:trPr/>
        <w:tc>
          <w:tcPr>
            <w:tcW w:w="420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20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hyperlink w:anchor="ic520981c3fc6423da018a5df888014d2_190">
              <w:r>
                <w:rPr>
                  <w:rStyle w:val="InternetLink"/>
                  <w:rFonts w:ascii="Arial;sans-serif" w:hAnsi="Arial;sans-serif"/>
                  <w:b/>
                  <w:i w:val="false"/>
                  <w:caps w:val="false"/>
                  <w:smallCaps w:val="false"/>
                  <w:strike w:val="false"/>
                  <w:dstrike w:val="false"/>
                  <w:color w:val="18333C"/>
                  <w:sz w:val="20"/>
                  <w:u w:val="single"/>
                  <w:effect w:val="none"/>
                </w:rPr>
                <w:t>Availability of Certain Documents</w:t>
              </w:r>
            </w:hyperlink>
          </w:p>
        </w:tc>
        <w:tc>
          <w:tcPr>
            <w:tcW w:w="45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hyperlink w:anchor="ic520981c3fc6423da018a5df888014d2_190">
              <w:r>
                <w:rPr>
                  <w:rStyle w:val="InternetLink"/>
                  <w:rFonts w:ascii="Arial;sans-serif" w:hAnsi="Arial;sans-serif"/>
                  <w:b/>
                  <w:i w:val="false"/>
                  <w:caps w:val="false"/>
                  <w:smallCaps w:val="false"/>
                  <w:strike w:val="false"/>
                  <w:dstrike w:val="false"/>
                  <w:color w:val="18333C"/>
                  <w:sz w:val="20"/>
                  <w:u w:val="single"/>
                  <w:effect w:val="none"/>
                </w:rPr>
                <w:t>88</w:t>
              </w:r>
            </w:hyperlink>
          </w:p>
        </w:tc>
      </w:tr>
      <w:tr>
        <w:trPr/>
        <w:tc>
          <w:tcPr>
            <w:tcW w:w="420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20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hyperlink w:anchor="ic520981c3fc6423da018a5df888014d2_193">
              <w:r>
                <w:rPr>
                  <w:rStyle w:val="InternetLink"/>
                  <w:rFonts w:ascii="Arial;sans-serif" w:hAnsi="Arial;sans-serif"/>
                  <w:b/>
                  <w:i w:val="false"/>
                  <w:caps w:val="false"/>
                  <w:smallCaps w:val="false"/>
                  <w:strike w:val="false"/>
                  <w:dstrike w:val="false"/>
                  <w:color w:val="18333C"/>
                  <w:sz w:val="20"/>
                  <w:u w:val="single"/>
                  <w:effect w:val="none"/>
                </w:rPr>
                <w:t>No Incorporation By Reference</w:t>
              </w:r>
            </w:hyperlink>
          </w:p>
        </w:tc>
        <w:tc>
          <w:tcPr>
            <w:tcW w:w="45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hyperlink w:anchor="ic520981c3fc6423da018a5df888014d2_193">
              <w:r>
                <w:rPr>
                  <w:rStyle w:val="InternetLink"/>
                  <w:rFonts w:ascii="Arial;sans-serif" w:hAnsi="Arial;sans-serif"/>
                  <w:b/>
                  <w:i w:val="false"/>
                  <w:caps w:val="false"/>
                  <w:smallCaps w:val="false"/>
                  <w:strike w:val="false"/>
                  <w:dstrike w:val="false"/>
                  <w:color w:val="18333C"/>
                  <w:sz w:val="20"/>
                  <w:u w:val="single"/>
                  <w:effect w:val="none"/>
                </w:rPr>
                <w:t>88</w:t>
              </w:r>
            </w:hyperlink>
          </w:p>
        </w:tc>
      </w:tr>
      <w:tr>
        <w:trPr/>
        <w:tc>
          <w:tcPr>
            <w:tcW w:w="420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20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hyperlink w:anchor="ic520981c3fc6423da018a5df888014d2_196">
              <w:r>
                <w:rPr>
                  <w:rStyle w:val="InternetLink"/>
                  <w:rFonts w:ascii="Arial;sans-serif" w:hAnsi="Arial;sans-serif"/>
                  <w:b/>
                  <w:i w:val="false"/>
                  <w:caps w:val="false"/>
                  <w:smallCaps w:val="false"/>
                  <w:strike w:val="false"/>
                  <w:dstrike w:val="false"/>
                  <w:color w:val="18333C"/>
                  <w:sz w:val="20"/>
                  <w:u w:val="single"/>
                  <w:effect w:val="none"/>
                </w:rPr>
                <w:t xml:space="preserve">Shareholder Proposals for Next </w:t>
              </w:r>
            </w:hyperlink>
          </w:p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hyperlink w:anchor="ic520981c3fc6423da018a5df888014d2_196">
              <w:r>
                <w:rPr>
                  <w:rStyle w:val="InternetLink"/>
                  <w:rFonts w:ascii="Arial;sans-serif" w:hAnsi="Arial;sans-serif"/>
                  <w:b/>
                  <w:i w:val="false"/>
                  <w:caps w:val="false"/>
                  <w:smallCaps w:val="false"/>
                  <w:strike w:val="false"/>
                  <w:dstrike w:val="false"/>
                  <w:color w:val="18333C"/>
                  <w:sz w:val="20"/>
                  <w:u w:val="single"/>
                  <w:effect w:val="none"/>
                </w:rPr>
                <w:t>Annual Meeting</w:t>
              </w:r>
            </w:hyperlink>
          </w:p>
        </w:tc>
        <w:tc>
          <w:tcPr>
            <w:tcW w:w="45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hyperlink w:anchor="ic520981c3fc6423da018a5df888014d2_196">
              <w:r>
                <w:rPr>
                  <w:rStyle w:val="InternetLink"/>
                  <w:rFonts w:ascii="Arial;sans-serif" w:hAnsi="Arial;sans-serif"/>
                  <w:b/>
                  <w:i w:val="false"/>
                  <w:caps w:val="false"/>
                  <w:smallCaps w:val="false"/>
                  <w:strike w:val="false"/>
                  <w:dstrike w:val="false"/>
                  <w:color w:val="18333C"/>
                  <w:sz w:val="20"/>
                  <w:u w:val="single"/>
                  <w:effect w:val="none"/>
                </w:rPr>
                <w:t>89</w:t>
              </w:r>
            </w:hyperlink>
          </w:p>
        </w:tc>
      </w:tr>
      <w:tr>
        <w:trPr/>
        <w:tc>
          <w:tcPr>
            <w:tcW w:w="420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20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hyperlink w:anchor="ic520981c3fc6423da018a5df888014d2_199">
              <w:r>
                <w:rPr>
                  <w:rStyle w:val="InternetLink"/>
                  <w:rFonts w:ascii="Arial;sans-serif" w:hAnsi="Arial;sans-serif"/>
                  <w:b/>
                  <w:i w:val="false"/>
                  <w:caps w:val="false"/>
                  <w:smallCaps w:val="false"/>
                  <w:strike w:val="false"/>
                  <w:dstrike w:val="false"/>
                  <w:color w:val="18333C"/>
                  <w:sz w:val="20"/>
                  <w:u w:val="single"/>
                  <w:effect w:val="none"/>
                </w:rPr>
                <w:t>Other Matters</w:t>
              </w:r>
            </w:hyperlink>
          </w:p>
        </w:tc>
        <w:tc>
          <w:tcPr>
            <w:tcW w:w="45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hyperlink w:anchor="ic520981c3fc6423da018a5df888014d2_199">
              <w:r>
                <w:rPr>
                  <w:rStyle w:val="InternetLink"/>
                  <w:rFonts w:ascii="Arial;sans-serif" w:hAnsi="Arial;sans-serif"/>
                  <w:b/>
                  <w:i w:val="false"/>
                  <w:caps w:val="false"/>
                  <w:smallCaps w:val="false"/>
                  <w:strike w:val="false"/>
                  <w:dstrike w:val="false"/>
                  <w:color w:val="18333C"/>
                  <w:sz w:val="20"/>
                  <w:u w:val="single"/>
                  <w:effect w:val="none"/>
                </w:rPr>
                <w:t>89</w:t>
              </w:r>
            </w:hyperlink>
          </w:p>
        </w:tc>
      </w:tr>
      <w:tr>
        <w:trPr/>
        <w:tc>
          <w:tcPr>
            <w:tcW w:w="420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20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hyperlink w:anchor="ic520981c3fc6423da018a5df888014d2_202">
              <w:r>
                <w:rPr>
                  <w:rStyle w:val="InternetLink"/>
                  <w:rFonts w:ascii="Arial;sans-serif" w:hAnsi="Arial;sans-serif"/>
                  <w:b/>
                  <w:i w:val="false"/>
                  <w:caps w:val="false"/>
                  <w:smallCaps w:val="false"/>
                  <w:strike w:val="false"/>
                  <w:dstrike w:val="false"/>
                  <w:color w:val="18333C"/>
                  <w:sz w:val="20"/>
                  <w:u w:val="single"/>
                  <w:effect w:val="none"/>
                </w:rPr>
                <w:t xml:space="preserve">Annex A—Reconciliation of GAAP Net </w:t>
              </w:r>
            </w:hyperlink>
          </w:p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hyperlink w:anchor="ic520981c3fc6423da018a5df888014d2_202">
              <w:r>
                <w:rPr>
                  <w:rStyle w:val="InternetLink"/>
                  <w:rFonts w:ascii="Arial;sans-serif" w:hAnsi="Arial;sans-serif"/>
                  <w:b/>
                  <w:i w:val="false"/>
                  <w:caps w:val="false"/>
                  <w:smallCaps w:val="false"/>
                  <w:strike w:val="false"/>
                  <w:dstrike w:val="false"/>
                  <w:color w:val="18333C"/>
                  <w:sz w:val="20"/>
                  <w:u w:val="single"/>
                  <w:effect w:val="none"/>
                </w:rPr>
                <w:t>Income to Adjusted EBITDA</w:t>
              </w:r>
            </w:hyperlink>
          </w:p>
        </w:tc>
        <w:tc>
          <w:tcPr>
            <w:tcW w:w="45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hyperlink w:anchor="ic520981c3fc6423da018a5df888014d2_202">
              <w:r>
                <w:rPr>
                  <w:rStyle w:val="InternetLink"/>
                  <w:rFonts w:ascii="Arial;sans-serif" w:hAnsi="Arial;sans-serif"/>
                  <w:b/>
                  <w:i w:val="false"/>
                  <w:caps w:val="false"/>
                  <w:smallCaps w:val="false"/>
                  <w:strike w:val="false"/>
                  <w:dstrike w:val="false"/>
                  <w:color w:val="18333C"/>
                  <w:sz w:val="20"/>
                  <w:u w:val="single"/>
                  <w:effect w:val="none"/>
                </w:rPr>
                <w:t>A-1</w:t>
              </w:r>
            </w:hyperlink>
          </w:p>
        </w:tc>
      </w:tr>
      <w:tr>
        <w:trPr/>
        <w:tc>
          <w:tcPr>
            <w:tcW w:w="420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20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hyperlink w:anchor="ic520981c3fc6423da018a5df888014d2_205">
              <w:r>
                <w:rPr>
                  <w:rStyle w:val="InternetLink"/>
                  <w:rFonts w:ascii="Arial;sans-serif" w:hAnsi="Arial;sans-serif"/>
                  <w:b/>
                  <w:i w:val="false"/>
                  <w:caps w:val="false"/>
                  <w:smallCaps w:val="false"/>
                  <w:strike w:val="false"/>
                  <w:dstrike w:val="false"/>
                  <w:color w:val="18333C"/>
                  <w:sz w:val="20"/>
                  <w:u w:val="single"/>
                  <w:effect w:val="none"/>
                </w:rPr>
                <w:t xml:space="preserve">Annex B—Certificate of Amendment of </w:t>
              </w:r>
            </w:hyperlink>
          </w:p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hyperlink w:anchor="ic520981c3fc6423da018a5df888014d2_205">
              <w:r>
                <w:rPr>
                  <w:rStyle w:val="InternetLink"/>
                  <w:rFonts w:ascii="Arial;sans-serif" w:hAnsi="Arial;sans-serif"/>
                  <w:b/>
                  <w:i w:val="false"/>
                  <w:caps w:val="false"/>
                  <w:smallCaps w:val="false"/>
                  <w:strike w:val="false"/>
                  <w:dstrike w:val="false"/>
                  <w:color w:val="18333C"/>
                  <w:sz w:val="20"/>
                  <w:u w:val="single"/>
                  <w:effect w:val="none"/>
                </w:rPr>
                <w:t xml:space="preserve">Restated Certificate of Incorporation of </w:t>
              </w:r>
            </w:hyperlink>
          </w:p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hyperlink w:anchor="ic520981c3fc6423da018a5df888014d2_205">
              <w:r>
                <w:rPr>
                  <w:rStyle w:val="InternetLink"/>
                  <w:rFonts w:ascii="Arial;sans-serif" w:hAnsi="Arial;sans-serif"/>
                  <w:b/>
                  <w:i w:val="false"/>
                  <w:caps w:val="false"/>
                  <w:smallCaps w:val="false"/>
                  <w:strike w:val="false"/>
                  <w:dstrike w:val="false"/>
                  <w:color w:val="18333C"/>
                  <w:sz w:val="20"/>
                  <w:u w:val="single"/>
                  <w:effect w:val="none"/>
                </w:rPr>
                <w:t>Take-Two Interactive Software, Inc.</w:t>
              </w:r>
            </w:hyperlink>
          </w:p>
        </w:tc>
        <w:tc>
          <w:tcPr>
            <w:tcW w:w="45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/>
            </w:pPr>
            <w:hyperlink w:anchor="ic520981c3fc6423da018a5df888014d2_205">
              <w:r>
                <w:rPr>
                  <w:rStyle w:val="InternetLink"/>
                  <w:rFonts w:ascii="Arial;sans-serif" w:hAnsi="Arial;sans-serif"/>
                  <w:b/>
                  <w:i w:val="false"/>
                  <w:caps w:val="false"/>
                  <w:smallCaps w:val="false"/>
                  <w:strike w:val="false"/>
                  <w:dstrike w:val="false"/>
                  <w:color w:val="18333C"/>
                  <w:sz w:val="20"/>
                  <w:u w:val="single"/>
                  <w:effect w:val="none"/>
                </w:rPr>
                <w:t>B-1</w:t>
              </w:r>
            </w:hyperlink>
          </w:p>
        </w:tc>
      </w:tr>
    </w:tbl>
    <w:tbl>
      <w:tblPr>
        <w:tblW w:w="4892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4651"/>
        <w:gridCol w:w="241"/>
      </w:tblGrid>
      <w:tr>
        <w:trPr/>
        <w:tc>
          <w:tcPr>
            <w:tcW w:w="46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651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sz w:val="24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TAKE-TWO INTERACTIVE SOFTWARE, INC.   |   2026</w:t>
            </w:r>
            <w:r>
              <w:rPr>
                <w:caps w:val="false"/>
                <w:smallCaps w:val="false"/>
                <w:strike w:val="false"/>
                <w:dstrike w:val="false"/>
                <w:color w:val="18333C"/>
                <w:sz w:val="24"/>
                <w:u w:val="none"/>
                <w:effect w:val="none"/>
              </w:rPr>
              <w:t xml:space="preserve"> 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 xml:space="preserve">Proxy Statement </w:t>
            </w:r>
          </w:p>
        </w:tc>
        <w:tc>
          <w:tcPr>
            <w:tcW w:w="24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5</w:t>
            </w:r>
          </w:p>
        </w:tc>
      </w:tr>
    </w:tbl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38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38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38"/>
          <w:u w:val="none"/>
          <w:effect w:val="none"/>
        </w:rPr>
        <w:t>PROXY SUMMARY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This summary highlights information contained elsewhere in this Proxy Statement and does not include all of the information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that you should consider. Please read the entire Proxy Statement carefully before voting.</w:t>
      </w:r>
    </w:p>
    <w:p>
      <w:pPr>
        <w:pStyle w:val="TextBody"/>
        <w:bidi w:val="0"/>
        <w:spacing w:lineRule="atLeast" w:line="280" w:before="0" w:after="0"/>
        <w:jc w:val="left"/>
        <w:rPr>
          <w:sz w:val="28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28"/>
          <w:u w:val="none"/>
          <w:effect w:val="none"/>
        </w:rPr>
        <w:t>2026</w:t>
      </w:r>
      <w:r>
        <w:rPr>
          <w:caps w:val="false"/>
          <w:smallCaps w:val="false"/>
          <w:strike w:val="false"/>
          <w:dstrike w:val="false"/>
          <w:color w:val="18333C"/>
          <w:sz w:val="28"/>
          <w:u w:val="none"/>
          <w:effect w:val="none"/>
        </w:rPr>
        <w:t xml:space="preserve"> </w:t>
      </w: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28"/>
          <w:u w:val="none"/>
          <w:effect w:val="none"/>
        </w:rPr>
        <w:t>Annual Meeting of Shareholders</w:t>
      </w:r>
    </w:p>
    <w:tbl>
      <w:tblPr>
        <w:tblW w:w="7129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4"/>
        <w:gridCol w:w="1621"/>
        <w:gridCol w:w="109"/>
        <w:gridCol w:w="3931"/>
        <w:gridCol w:w="109"/>
        <w:gridCol w:w="1081"/>
        <w:gridCol w:w="154"/>
      </w:tblGrid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2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9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8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2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9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8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2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Time and Date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93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Location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8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Record Date</w:t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2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9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8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21" w:type="dxa"/>
            <w:tcBorders/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7"/>
                <w:u w:val="none"/>
                <w:effect w:val="none"/>
              </w:rPr>
              <w:t>September 17, 2026,</w:t>
            </w:r>
          </w:p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7"/>
                <w:u w:val="none"/>
                <w:effect w:val="none"/>
              </w:rPr>
              <w:t>at 9:00 a.m.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931" w:type="dxa"/>
            <w:tcBorders/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7"/>
                <w:u w:val="none"/>
                <w:effect w:val="none"/>
              </w:rPr>
              <w:t xml:space="preserve">Virtual, audio-only meeting hosted online at </w:t>
            </w:r>
          </w:p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sz w:val="17"/>
                <w:u w:val="none"/>
                <w:effect w:val="none"/>
              </w:rPr>
              <w:t>www.virtualshareholdermeeting.com/TTWO2026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81" w:type="dxa"/>
            <w:tcBorders/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7"/>
                <w:u w:val="none"/>
                <w:effect w:val="none"/>
              </w:rPr>
              <w:t>July 23, 2026</w:t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2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9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8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before="0" w:after="0"/>
        <w:jc w:val="left"/>
        <w:rPr>
          <w:shd w:fill="auto" w:val="clear"/>
        </w:rPr>
      </w:pPr>
      <w:r>
        <w:rPr>
          <w:shd w:fill="auto" w:val="clear"/>
        </w:rPr>
        <w:drawing>
          <wp:inline distT="0" distB="0" distL="0" distR="0">
            <wp:extent cx="5861050" cy="721360"/>
            <wp:effectExtent l="0" t="0" r="0" b="0"/>
            <wp:docPr id="24" name="Image2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mage24" descr=""/>
                    <pic:cNvPicPr>
                      <a:picLocks noChangeAspect="1" noChangeArrowheads="1"/>
                    </pic:cNvPicPr>
                  </pic:nvPicPr>
                  <pic:blipFill>
                    <a:blip r:embed="rId2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1050" cy="7213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23" w:name="i-24"/>
      <w:bookmarkEnd w:id="23"/>
    </w:p>
    <w:p>
      <w:pPr>
        <w:pStyle w:val="TextBody"/>
        <w:bidi w:val="0"/>
        <w:spacing w:lineRule="atLeast" w:line="28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28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28"/>
          <w:u w:val="none"/>
          <w:effect w:val="none"/>
        </w:rPr>
        <w:t>Voting Matters and Board Recommendations</w:t>
      </w:r>
    </w:p>
    <w:tbl>
      <w:tblPr>
        <w:tblW w:w="9799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466"/>
        <w:gridCol w:w="7036"/>
        <w:gridCol w:w="1516"/>
        <w:gridCol w:w="781"/>
      </w:tblGrid>
      <w:tr>
        <w:trPr/>
        <w:tc>
          <w:tcPr>
            <w:tcW w:w="46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0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1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66" w:type="dxa"/>
            <w:tcBorders/>
            <w:shd w:fill="64BFA6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036" w:type="dxa"/>
            <w:tcBorders/>
            <w:shd w:fill="64BFA6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16" w:type="dxa"/>
            <w:tcBorders/>
            <w:shd w:fill="64BFA6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1" w:type="dxa"/>
            <w:tcBorders/>
            <w:shd w:fill="64BFA6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66" w:type="dxa"/>
            <w:tcBorders/>
            <w:shd w:fill="64BFA6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Item</w:t>
            </w:r>
          </w:p>
        </w:tc>
        <w:tc>
          <w:tcPr>
            <w:tcW w:w="7036" w:type="dxa"/>
            <w:tcBorders/>
            <w:shd w:fill="64BFA6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Proposal</w:t>
            </w:r>
          </w:p>
        </w:tc>
        <w:tc>
          <w:tcPr>
            <w:tcW w:w="1516" w:type="dxa"/>
            <w:tcBorders/>
            <w:shd w:fill="64BFA6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Board’s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Recommendation</w:t>
            </w:r>
          </w:p>
        </w:tc>
        <w:tc>
          <w:tcPr>
            <w:tcW w:w="781" w:type="dxa"/>
            <w:tcBorders/>
            <w:shd w:fill="64BFA6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Page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Number</w:t>
            </w:r>
          </w:p>
        </w:tc>
      </w:tr>
      <w:tr>
        <w:trPr/>
        <w:tc>
          <w:tcPr>
            <w:tcW w:w="466" w:type="dxa"/>
            <w:tcBorders/>
            <w:shd w:fill="64BFA6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036" w:type="dxa"/>
            <w:tcBorders/>
            <w:shd w:fill="64BFA6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16" w:type="dxa"/>
            <w:tcBorders/>
            <w:shd w:fill="64BFA6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1" w:type="dxa"/>
            <w:tcBorders/>
            <w:shd w:fill="64BFA6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66" w:type="dxa"/>
            <w:tcBorders>
              <w:bottom w:val="single" w:sz="2" w:space="0" w:color="8C8D8F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81C31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81C31"/>
                <w:sz w:val="17"/>
                <w:u w:val="none"/>
                <w:effect w:val="none"/>
              </w:rPr>
              <w:t>1.</w:t>
            </w:r>
          </w:p>
        </w:tc>
        <w:tc>
          <w:tcPr>
            <w:tcW w:w="7036" w:type="dxa"/>
            <w:tcBorders>
              <w:bottom w:val="single" w:sz="2" w:space="0" w:color="8C8D8F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Election of 10 director nominees</w:t>
            </w:r>
          </w:p>
        </w:tc>
        <w:tc>
          <w:tcPr>
            <w:tcW w:w="1516" w:type="dxa"/>
            <w:tcBorders>
              <w:bottom w:val="single" w:sz="2" w:space="0" w:color="8C8D8F"/>
            </w:tcBorders>
            <w:shd w:fill="F3F3F3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7"/>
                <w:u w:val="none"/>
                <w:effect w:val="none"/>
              </w:rPr>
              <w:t>FOR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(each nominee)</w:t>
            </w:r>
          </w:p>
        </w:tc>
        <w:tc>
          <w:tcPr>
            <w:tcW w:w="781" w:type="dxa"/>
            <w:tcBorders>
              <w:bottom w:val="single" w:sz="2" w:space="0" w:color="8C8D8F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/>
            </w:pPr>
            <w:hyperlink w:anchor="ic520981c3fc6423da018a5df888014d2_34">
              <w:r>
                <w:rPr>
                  <w:rStyle w:val="InternetLink"/>
                  <w:rFonts w:ascii="Arial;sans-serif" w:hAnsi="Arial;sans-serif"/>
                  <w:b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7"/>
                  <w:u w:val="single"/>
                  <w:effect w:val="none"/>
                </w:rPr>
                <w:t>9</w:t>
              </w:r>
            </w:hyperlink>
          </w:p>
        </w:tc>
      </w:tr>
      <w:tr>
        <w:trPr/>
        <w:tc>
          <w:tcPr>
            <w:tcW w:w="46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81C31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81C31"/>
                <w:sz w:val="17"/>
                <w:u w:val="none"/>
                <w:effect w:val="none"/>
              </w:rPr>
              <w:t>2.</w:t>
            </w:r>
          </w:p>
        </w:tc>
        <w:tc>
          <w:tcPr>
            <w:tcW w:w="703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Advisory vote to approve executive compensation</w:t>
            </w:r>
          </w:p>
        </w:tc>
        <w:tc>
          <w:tcPr>
            <w:tcW w:w="1516" w:type="dxa"/>
            <w:tcBorders>
              <w:top w:val="single" w:sz="2" w:space="0" w:color="8C8D8F"/>
              <w:bottom w:val="single" w:sz="2" w:space="0" w:color="8C8D8F"/>
            </w:tcBorders>
            <w:shd w:fill="F3F3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7"/>
                <w:u w:val="none"/>
                <w:effect w:val="none"/>
              </w:rPr>
              <w:t>FOR</w:t>
            </w:r>
          </w:p>
        </w:tc>
        <w:tc>
          <w:tcPr>
            <w:tcW w:w="781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/>
            </w:pPr>
            <w:hyperlink w:anchor="ic520981c3fc6423da018a5df888014d2_70">
              <w:r>
                <w:rPr>
                  <w:rStyle w:val="InternetLink"/>
                  <w:rFonts w:ascii="Arial;sans-serif" w:hAnsi="Arial;sans-serif"/>
                  <w:b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7"/>
                  <w:u w:val="single"/>
                  <w:effect w:val="none"/>
                </w:rPr>
                <w:t>25</w:t>
              </w:r>
            </w:hyperlink>
          </w:p>
        </w:tc>
      </w:tr>
      <w:tr>
        <w:trPr/>
        <w:tc>
          <w:tcPr>
            <w:tcW w:w="46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81C31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81C31"/>
                <w:sz w:val="17"/>
                <w:u w:val="none"/>
                <w:effect w:val="none"/>
              </w:rPr>
              <w:t xml:space="preserve">3. </w:t>
            </w:r>
          </w:p>
        </w:tc>
        <w:tc>
          <w:tcPr>
            <w:tcW w:w="703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 xml:space="preserve">Approval of a certificate of amendment to the Restated Certificate of Incorporation of Take-Two </w:t>
            </w:r>
          </w:p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Interactive Software, Inc. to limit the liability of certain officers as permitted by Delaware law</w:t>
            </w:r>
          </w:p>
        </w:tc>
        <w:tc>
          <w:tcPr>
            <w:tcW w:w="1516" w:type="dxa"/>
            <w:tcBorders>
              <w:top w:val="single" w:sz="2" w:space="0" w:color="8C8D8F"/>
              <w:bottom w:val="single" w:sz="2" w:space="0" w:color="8C8D8F"/>
            </w:tcBorders>
            <w:shd w:fill="F3F3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7"/>
                <w:u w:val="none"/>
                <w:effect w:val="none"/>
              </w:rPr>
              <w:t>FOR</w:t>
            </w:r>
          </w:p>
        </w:tc>
        <w:tc>
          <w:tcPr>
            <w:tcW w:w="781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/>
            </w:pPr>
            <w:hyperlink w:anchor="ic520981c3fc6423da018a5df888014d2_172">
              <w:r>
                <w:rPr>
                  <w:rStyle w:val="InternetLink"/>
                  <w:rFonts w:ascii="Arial;sans-serif" w:hAnsi="Arial;sans-serif"/>
                  <w:b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7"/>
                  <w:u w:val="single"/>
                  <w:effect w:val="none"/>
                </w:rPr>
                <w:t>78</w:t>
              </w:r>
            </w:hyperlink>
          </w:p>
        </w:tc>
      </w:tr>
      <w:tr>
        <w:trPr/>
        <w:tc>
          <w:tcPr>
            <w:tcW w:w="466" w:type="dxa"/>
            <w:tcBorders>
              <w:top w:val="single" w:sz="2" w:space="0" w:color="8C8D8F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81C31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81C31"/>
                <w:sz w:val="17"/>
                <w:u w:val="none"/>
                <w:effect w:val="none"/>
              </w:rPr>
              <w:t>4.</w:t>
            </w:r>
          </w:p>
        </w:tc>
        <w:tc>
          <w:tcPr>
            <w:tcW w:w="7036" w:type="dxa"/>
            <w:tcBorders>
              <w:top w:val="single" w:sz="2" w:space="0" w:color="8C8D8F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7"/>
                <w:u w:val="none"/>
                <w:effect w:val="none"/>
              </w:rPr>
              <w:t xml:space="preserve">Ratification of the appointment of Ernst &amp; Young LLP as our independent registered public </w:t>
            </w:r>
          </w:p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sz w:val="24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7"/>
                <w:u w:val="none"/>
                <w:effect w:val="none"/>
              </w:rPr>
              <w:t>accounting firm for the fiscal year ending March 31, 2027</w:t>
            </w:r>
            <w:r>
              <w:rPr>
                <w:caps w:val="false"/>
                <w:smallCaps w:val="false"/>
                <w:strike w:val="false"/>
                <w:dstrike w:val="false"/>
                <w:sz w:val="24"/>
                <w:u w:val="none"/>
                <w:effect w:val="none"/>
              </w:rPr>
              <w:t xml:space="preserve"> </w:t>
            </w:r>
            <w:r>
              <w:rPr>
                <w:rFonts w:ascii="Arial;sans-serif" w:hAnsi="Arial;sans-serif"/>
                <w:b w:val="false"/>
                <w:i/>
                <w:strike w:val="false"/>
                <w:dstrike w:val="false"/>
                <w:sz w:val="17"/>
                <w:u w:val="none"/>
                <w:effect w:val="none"/>
              </w:rPr>
              <w:t>(“fiscal 2027</w:t>
            </w:r>
            <w:r>
              <w:rPr>
                <w:strike w:val="false"/>
                <w:dstrike w:val="false"/>
                <w:sz w:val="24"/>
                <w:u w:val="none"/>
                <w:effect w:val="none"/>
              </w:rPr>
              <w:t>”</w:t>
            </w:r>
            <w:r>
              <w:rPr>
                <w:rFonts w:ascii="Arial;sans-serif" w:hAnsi="Arial;sans-serif"/>
                <w:b w:val="false"/>
                <w:i/>
                <w:strike w:val="false"/>
                <w:dstrike w:val="false"/>
                <w:sz w:val="17"/>
                <w:u w:val="none"/>
                <w:effect w:val="none"/>
              </w:rPr>
              <w:t>)</w:t>
            </w:r>
          </w:p>
        </w:tc>
        <w:tc>
          <w:tcPr>
            <w:tcW w:w="1516" w:type="dxa"/>
            <w:tcBorders>
              <w:top w:val="single" w:sz="2" w:space="0" w:color="8C8D8F"/>
              <w:bottom w:val="single" w:sz="4" w:space="0" w:color="18333C"/>
            </w:tcBorders>
            <w:shd w:fill="F3F3F3" w:val="clear"/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7"/>
                <w:u w:val="none"/>
                <w:effect w:val="none"/>
              </w:rPr>
              <w:t>FOR</w:t>
            </w:r>
          </w:p>
        </w:tc>
        <w:tc>
          <w:tcPr>
            <w:tcW w:w="781" w:type="dxa"/>
            <w:tcBorders>
              <w:top w:val="single" w:sz="2" w:space="0" w:color="8C8D8F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/>
            </w:pPr>
            <w:hyperlink w:anchor="ic520981c3fc6423da018a5df888014d2_175">
              <w:r>
                <w:rPr>
                  <w:rStyle w:val="InternetLink"/>
                  <w:rFonts w:ascii="Arial;sans-serif" w:hAnsi="Arial;sans-serif"/>
                  <w:b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7"/>
                  <w:u w:val="single"/>
                  <w:effect w:val="none"/>
                </w:rPr>
                <w:t>80</w:t>
              </w:r>
            </w:hyperlink>
          </w:p>
        </w:tc>
      </w:tr>
    </w:tbl>
    <w:p>
      <w:pPr>
        <w:pStyle w:val="TextBody"/>
        <w:bidi w:val="0"/>
        <w:spacing w:lineRule="atLeast" w:line="28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28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28"/>
          <w:u w:val="none"/>
          <w:effect w:val="none"/>
        </w:rPr>
        <w:t>Company Performance Highlights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The Company delivered strong financial results in the fiscal year ended March 31, 2026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(“</w:t>
      </w:r>
      <w:r>
        <w:rPr>
          <w:rFonts w:ascii="Arial;sans-serif" w:hAnsi="Arial;sans-serif"/>
          <w:b w:val="false"/>
          <w:i/>
          <w:strike w:val="false"/>
          <w:dstrike w:val="false"/>
          <w:sz w:val="18"/>
          <w:u w:val="none"/>
          <w:effect w:val="none"/>
        </w:rPr>
        <w:t>fiscal 2026</w:t>
      </w:r>
      <w:r>
        <w:rPr>
          <w:strike w:val="false"/>
          <w:dstrike w:val="false"/>
          <w:sz w:val="24"/>
          <w:u w:val="none"/>
          <w:effect w:val="none"/>
        </w:rPr>
        <w:t>”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) driven by continued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execution of our strategy to develop and publish high-quality interactive entertainment experiences across a diverse range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of genres.</w:t>
      </w:r>
    </w:p>
    <w:tbl>
      <w:tblPr>
        <w:tblW w:w="9898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296"/>
        <w:gridCol w:w="562"/>
        <w:gridCol w:w="1171"/>
        <w:gridCol w:w="796"/>
        <w:gridCol w:w="109"/>
        <w:gridCol w:w="109"/>
        <w:gridCol w:w="2281"/>
        <w:gridCol w:w="562"/>
        <w:gridCol w:w="1171"/>
        <w:gridCol w:w="841"/>
      </w:tblGrid>
      <w:tr>
        <w:trPr/>
        <w:tc>
          <w:tcPr>
            <w:tcW w:w="22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6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28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6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96" w:type="dxa"/>
            <w:tcBorders/>
            <w:shd w:fill="64BFA6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62" w:type="dxa"/>
            <w:tcBorders/>
            <w:shd w:fill="64BFA6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1" w:type="dxa"/>
            <w:tcBorders/>
            <w:shd w:fill="64BFA6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6" w:type="dxa"/>
            <w:tcBorders/>
            <w:shd w:fill="64BFA6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64BFA6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64BFA6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281" w:type="dxa"/>
            <w:tcBorders/>
            <w:shd w:fill="64BFA6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62" w:type="dxa"/>
            <w:tcBorders/>
            <w:shd w:fill="64BFA6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1" w:type="dxa"/>
            <w:tcBorders/>
            <w:shd w:fill="64BFA6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1" w:type="dxa"/>
            <w:tcBorders/>
            <w:shd w:fill="64BFA6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98" w:type="dxa"/>
            <w:gridSpan w:val="10"/>
            <w:tcBorders/>
            <w:shd w:fill="64BFA6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sz w:val="24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20"/>
                <w:u w:val="none"/>
                <w:effect w:val="none"/>
              </w:rPr>
              <w:t>Fiscal 2026</w:t>
            </w:r>
            <w:r>
              <w:rPr>
                <w:caps w:val="false"/>
                <w:smallCaps w:val="false"/>
                <w:strike w:val="false"/>
                <w:dstrike w:val="false"/>
                <w:color w:val="FFFFFF"/>
                <w:sz w:val="24"/>
                <w:u w:val="none"/>
                <w:effect w:val="none"/>
              </w:rPr>
              <w:t xml:space="preserve"> 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20"/>
                <w:u w:val="none"/>
                <w:effect w:val="none"/>
              </w:rPr>
              <w:t>Financial and Operating Results</w:t>
            </w:r>
          </w:p>
        </w:tc>
      </w:tr>
      <w:tr>
        <w:trPr/>
        <w:tc>
          <w:tcPr>
            <w:tcW w:w="2296" w:type="dxa"/>
            <w:tcBorders/>
            <w:shd w:fill="64BFA6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62" w:type="dxa"/>
            <w:tcBorders/>
            <w:shd w:fill="64BFA6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1" w:type="dxa"/>
            <w:tcBorders/>
            <w:shd w:fill="64BFA6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6" w:type="dxa"/>
            <w:tcBorders/>
            <w:shd w:fill="64BFA6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64BFA6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64BFA6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281" w:type="dxa"/>
            <w:tcBorders/>
            <w:shd w:fill="64BFA6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62" w:type="dxa"/>
            <w:tcBorders/>
            <w:shd w:fill="64BFA6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1" w:type="dxa"/>
            <w:tcBorders/>
            <w:shd w:fill="64BFA6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1" w:type="dxa"/>
            <w:tcBorders/>
            <w:shd w:fill="64BFA6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6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28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6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825" w:type="dxa"/>
            <w:gridSpan w:val="4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z w:val="16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z w:val="16"/>
              </w:rPr>
              <w:t>Net Revenue</w:t>
            </w:r>
          </w:p>
          <w:p>
            <w:pPr>
              <w:pStyle w:val="TableContents"/>
              <w:bidi w:val="0"/>
              <w:spacing w:lineRule="atLeast" w:line="400" w:before="0" w:after="0"/>
              <w:jc w:val="left"/>
              <w:rPr>
                <w:sz w:val="40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64BFA6"/>
                <w:sz w:val="40"/>
                <w:u w:val="none"/>
                <w:effect w:val="none"/>
              </w:rPr>
              <w:t>$6.66</w:t>
            </w:r>
            <w:r>
              <w:rPr>
                <w:caps w:val="false"/>
                <w:smallCaps w:val="false"/>
                <w:strike w:val="false"/>
                <w:dstrike w:val="false"/>
                <w:color w:val="64BFA6"/>
                <w:sz w:val="40"/>
                <w:u w:val="none"/>
                <w:effect w:val="none"/>
              </w:rPr>
              <w:t xml:space="preserve"> 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64BFA6"/>
                <w:sz w:val="40"/>
                <w:u w:val="none"/>
                <w:effect w:val="none"/>
              </w:rPr>
              <w:t>Billion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855" w:type="dxa"/>
            <w:gridSpan w:val="4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z w:val="16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z w:val="16"/>
              </w:rPr>
              <w:t>Net Bookings (operating metric)</w:t>
            </w:r>
          </w:p>
          <w:p>
            <w:pPr>
              <w:pStyle w:val="TableContents"/>
              <w:bidi w:val="0"/>
              <w:spacing w:lineRule="atLeast" w:line="400" w:before="0" w:after="0"/>
              <w:jc w:val="left"/>
              <w:rPr>
                <w:sz w:val="40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B2395E"/>
                <w:sz w:val="40"/>
                <w:u w:val="none"/>
                <w:effect w:val="none"/>
              </w:rPr>
              <w:t>$6.72</w:t>
            </w:r>
            <w:r>
              <w:rPr>
                <w:caps w:val="false"/>
                <w:smallCaps w:val="false"/>
                <w:strike w:val="false"/>
                <w:dstrike w:val="false"/>
                <w:color w:val="B2395E"/>
                <w:sz w:val="40"/>
                <w:u w:val="none"/>
                <w:effect w:val="none"/>
              </w:rPr>
              <w:t xml:space="preserve"> 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B2395E"/>
                <w:sz w:val="40"/>
                <w:u w:val="none"/>
                <w:effect w:val="none"/>
              </w:rPr>
              <w:t>Billion</w:t>
            </w:r>
          </w:p>
        </w:tc>
      </w:tr>
      <w:tr>
        <w:trPr/>
        <w:tc>
          <w:tcPr>
            <w:tcW w:w="22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6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28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6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6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28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6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825" w:type="dxa"/>
            <w:gridSpan w:val="4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Net Revenue by Platform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28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6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9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7DC6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7DC6"/>
                <w:sz w:val="16"/>
                <w:u w:val="none"/>
                <w:effect w:val="none"/>
              </w:rPr>
              <w:t>Console, PC and Other</w:t>
            </w:r>
          </w:p>
        </w:tc>
        <w:tc>
          <w:tcPr>
            <w:tcW w:w="56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28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6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96" w:type="dxa"/>
            <w:tcBorders/>
            <w:vAlign w:val="center"/>
          </w:tcPr>
          <w:p>
            <w:pPr>
              <w:pStyle w:val="TableContents"/>
              <w:bidi w:val="0"/>
              <w:spacing w:lineRule="atLeast" w:line="380" w:before="0" w:after="0"/>
              <w:jc w:val="left"/>
              <w:rPr>
                <w:sz w:val="38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7DC6"/>
                <w:sz w:val="38"/>
                <w:u w:val="none"/>
                <w:effect w:val="none"/>
              </w:rPr>
              <w:t>$3.32</w:t>
            </w:r>
            <w:r>
              <w:rPr>
                <w:caps w:val="false"/>
                <w:smallCaps w:val="false"/>
                <w:strike w:val="false"/>
                <w:dstrike w:val="false"/>
                <w:color w:val="007DC6"/>
                <w:sz w:val="38"/>
                <w:u w:val="none"/>
                <w:effect w:val="none"/>
              </w:rPr>
              <w:t xml:space="preserve"> 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7DC6"/>
                <w:sz w:val="38"/>
                <w:u w:val="none"/>
                <w:effect w:val="none"/>
              </w:rPr>
              <w:t>Billion</w:t>
            </w:r>
          </w:p>
        </w:tc>
        <w:tc>
          <w:tcPr>
            <w:tcW w:w="562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302260" cy="164465"/>
                  <wp:effectExtent l="0" t="0" r="0" b="0"/>
                  <wp:docPr id="25" name="Image25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" name="Image25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2260" cy="1644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24" w:name="i-25"/>
            <w:bookmarkEnd w:id="24"/>
          </w:p>
        </w:tc>
        <w:tc>
          <w:tcPr>
            <w:tcW w:w="1171" w:type="dxa"/>
            <w:tcBorders/>
            <w:vAlign w:val="center"/>
          </w:tcPr>
          <w:p>
            <w:pPr>
              <w:pStyle w:val="TableContents"/>
              <w:bidi w:val="0"/>
              <w:spacing w:lineRule="atLeast" w:line="38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7DC6"/>
                <w:sz w:val="38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7DC6"/>
                <w:sz w:val="38"/>
                <w:u w:val="none"/>
                <w:effect w:val="none"/>
              </w:rPr>
              <w:t>49.9%</w:t>
            </w:r>
          </w:p>
        </w:tc>
        <w:tc>
          <w:tcPr>
            <w:tcW w:w="79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7DC6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7DC6"/>
                <w:sz w:val="16"/>
                <w:u w:val="none"/>
                <w:effect w:val="none"/>
              </w:rPr>
              <w:t>of Net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7DC6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7DC6"/>
                <w:sz w:val="16"/>
                <w:u w:val="none"/>
                <w:effect w:val="none"/>
              </w:rPr>
              <w:t>Revenue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855" w:type="dxa"/>
            <w:gridSpan w:val="4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z w:val="16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z w:val="16"/>
              </w:rPr>
              <w:t>Recurrent Consumer Spending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/>
                <w:sz w:val="16"/>
              </w:rPr>
            </w:pPr>
            <w:r>
              <w:rPr>
                <w:rFonts w:ascii="Arial;sans-serif" w:hAnsi="Arial;sans-serif"/>
                <w:b w:val="false"/>
                <w:i/>
                <w:sz w:val="16"/>
              </w:rPr>
              <w:t>(virtual currency, add-on content, and in-game purchases)</w:t>
            </w:r>
          </w:p>
        </w:tc>
      </w:tr>
      <w:tr>
        <w:trPr/>
        <w:tc>
          <w:tcPr>
            <w:tcW w:w="229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03A38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03A38"/>
                <w:sz w:val="16"/>
                <w:u w:val="none"/>
                <w:effect w:val="none"/>
              </w:rPr>
              <w:t>Mobile</w:t>
            </w:r>
          </w:p>
        </w:tc>
        <w:tc>
          <w:tcPr>
            <w:tcW w:w="56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281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lineRule="atLeast" w:line="380" w:before="0" w:after="0"/>
              <w:jc w:val="left"/>
              <w:rPr>
                <w:sz w:val="38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81C31"/>
                <w:sz w:val="38"/>
                <w:u w:val="none"/>
                <w:effect w:val="none"/>
              </w:rPr>
              <w:t>$5.20</w:t>
            </w:r>
            <w:r>
              <w:rPr>
                <w:caps w:val="false"/>
                <w:smallCaps w:val="false"/>
                <w:strike w:val="false"/>
                <w:dstrike w:val="false"/>
                <w:color w:val="081C31"/>
                <w:sz w:val="38"/>
                <w:u w:val="none"/>
                <w:effect w:val="none"/>
              </w:rPr>
              <w:t xml:space="preserve"> 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81C31"/>
                <w:sz w:val="38"/>
                <w:u w:val="none"/>
                <w:effect w:val="none"/>
              </w:rPr>
              <w:t>Billion</w:t>
            </w:r>
          </w:p>
        </w:tc>
        <w:tc>
          <w:tcPr>
            <w:tcW w:w="562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302260" cy="164465"/>
                  <wp:effectExtent l="0" t="0" r="0" b="0"/>
                  <wp:docPr id="26" name="Image26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" name="Image26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2260" cy="1644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25" w:name="i-26"/>
            <w:bookmarkEnd w:id="25"/>
          </w:p>
        </w:tc>
        <w:tc>
          <w:tcPr>
            <w:tcW w:w="1171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lineRule="atLeast" w:line="38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81C31"/>
                <w:sz w:val="38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81C31"/>
                <w:sz w:val="38"/>
                <w:u w:val="none"/>
                <w:effect w:val="none"/>
              </w:rPr>
              <w:t>78.1%</w:t>
            </w:r>
          </w:p>
        </w:tc>
        <w:tc>
          <w:tcPr>
            <w:tcW w:w="841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03A38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03A38"/>
                <w:sz w:val="16"/>
                <w:u w:val="none"/>
                <w:effect w:val="none"/>
              </w:rPr>
              <w:t>of Net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03A38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03A38"/>
                <w:sz w:val="16"/>
                <w:u w:val="none"/>
                <w:effect w:val="none"/>
              </w:rPr>
              <w:t>Revenue</w:t>
            </w:r>
          </w:p>
        </w:tc>
      </w:tr>
      <w:tr>
        <w:trPr/>
        <w:tc>
          <w:tcPr>
            <w:tcW w:w="2296" w:type="dxa"/>
            <w:tcBorders/>
            <w:vAlign w:val="center"/>
          </w:tcPr>
          <w:p>
            <w:pPr>
              <w:pStyle w:val="TableContents"/>
              <w:bidi w:val="0"/>
              <w:spacing w:lineRule="atLeast" w:line="380" w:before="0" w:after="0"/>
              <w:jc w:val="left"/>
              <w:rPr>
                <w:sz w:val="38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03A38"/>
                <w:sz w:val="38"/>
                <w:u w:val="none"/>
                <w:effect w:val="none"/>
              </w:rPr>
              <w:t>$3.33</w:t>
            </w:r>
            <w:r>
              <w:rPr>
                <w:caps w:val="false"/>
                <w:smallCaps w:val="false"/>
                <w:strike w:val="false"/>
                <w:dstrike w:val="false"/>
                <w:color w:val="103A38"/>
                <w:sz w:val="38"/>
                <w:u w:val="none"/>
                <w:effect w:val="none"/>
              </w:rPr>
              <w:t xml:space="preserve"> 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03A38"/>
                <w:sz w:val="38"/>
                <w:u w:val="none"/>
                <w:effect w:val="none"/>
              </w:rPr>
              <w:t>Billion</w:t>
            </w:r>
          </w:p>
        </w:tc>
        <w:tc>
          <w:tcPr>
            <w:tcW w:w="562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301625" cy="163195"/>
                  <wp:effectExtent l="0" t="0" r="0" b="0"/>
                  <wp:docPr id="27" name="Image27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" name="Image27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1625" cy="1631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26" w:name="i-27"/>
            <w:bookmarkEnd w:id="26"/>
          </w:p>
        </w:tc>
        <w:tc>
          <w:tcPr>
            <w:tcW w:w="1171" w:type="dxa"/>
            <w:tcBorders/>
            <w:vAlign w:val="center"/>
          </w:tcPr>
          <w:p>
            <w:pPr>
              <w:pStyle w:val="TableContents"/>
              <w:bidi w:val="0"/>
              <w:spacing w:lineRule="atLeast" w:line="38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03A38"/>
                <w:sz w:val="38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03A38"/>
                <w:sz w:val="38"/>
                <w:u w:val="none"/>
                <w:effect w:val="none"/>
              </w:rPr>
              <w:t>50.1%</w:t>
            </w:r>
          </w:p>
        </w:tc>
        <w:tc>
          <w:tcPr>
            <w:tcW w:w="79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03A38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03A38"/>
                <w:sz w:val="16"/>
                <w:u w:val="none"/>
                <w:effect w:val="none"/>
              </w:rPr>
              <w:t>of Net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03A38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03A38"/>
                <w:sz w:val="16"/>
                <w:u w:val="none"/>
                <w:effect w:val="none"/>
              </w:rPr>
              <w:t>Revenue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281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62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171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1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6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28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6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before="0" w:after="0"/>
        <w:jc w:val="left"/>
        <w:rPr>
          <w:shd w:fill="auto" w:val="clear"/>
        </w:rPr>
      </w:pPr>
      <w:r>
        <w:rPr>
          <w:shd w:fill="auto" w:val="clear"/>
        </w:rPr>
        <w:drawing>
          <wp:inline distT="0" distB="0" distL="0" distR="0">
            <wp:extent cx="6408420" cy="1895475"/>
            <wp:effectExtent l="0" t="0" r="0" b="0"/>
            <wp:docPr id="28" name="Image28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Image28" descr=""/>
                    <pic:cNvPicPr>
                      <a:picLocks noChangeAspect="1" noChangeArrowheads="1"/>
                    </pic:cNvPicPr>
                  </pic:nvPicPr>
                  <pic:blipFill>
                    <a:blip r:embed="rId2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8420" cy="1895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27" w:name="i-28"/>
      <w:bookmarkEnd w:id="27"/>
    </w:p>
    <w:tbl>
      <w:tblPr>
        <w:tblW w:w="484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11"/>
        <w:gridCol w:w="4636"/>
      </w:tblGrid>
      <w:tr>
        <w:trPr/>
        <w:tc>
          <w:tcPr>
            <w:tcW w:w="21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6</w:t>
            </w:r>
          </w:p>
        </w:tc>
        <w:tc>
          <w:tcPr>
            <w:tcW w:w="4636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sz w:val="24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TAKE-TWO INTERACTIVE SOFTWARE, INC.   |   2026</w:t>
            </w:r>
            <w:r>
              <w:rPr>
                <w:caps w:val="false"/>
                <w:smallCaps w:val="false"/>
                <w:strike w:val="false"/>
                <w:dstrike w:val="false"/>
                <w:color w:val="18333C"/>
                <w:sz w:val="24"/>
                <w:u w:val="none"/>
                <w:effect w:val="none"/>
              </w:rPr>
              <w:t xml:space="preserve"> 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Proxy Statement</w:t>
            </w:r>
          </w:p>
        </w:tc>
      </w:tr>
    </w:tbl>
    <w:p>
      <w:pPr>
        <w:pStyle w:val="TextBody"/>
        <w:bidi w:val="0"/>
        <w:spacing w:lineRule="atLeast" w:line="142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3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3"/>
          <w:u w:val="none"/>
          <w:effect w:val="none"/>
        </w:rPr>
        <w:t>PROXY SUMMARY</w:t>
      </w:r>
    </w:p>
    <w:p>
      <w:pPr>
        <w:pStyle w:val="TextBody"/>
        <w:bidi w:val="0"/>
        <w:spacing w:lineRule="atLeast" w:line="142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2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2"/>
          <w:u w:val="none"/>
          <w:effect w:val="none"/>
        </w:rPr>
        <w:t>BOARD OF DIRECTORS HIGHLIGHTS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8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28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28"/>
          <w:u w:val="none"/>
          <w:effect w:val="none"/>
        </w:rPr>
        <w:t>Board of Directors Highlights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Our 10 nominees include nine independent, outside directors who as a group have extensive management experience, subject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matter expertise, and knowledge that is critical to the Company.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Board Best Practices</w:t>
      </w:r>
    </w:p>
    <w:p>
      <w:pPr>
        <w:pStyle w:val="TextBody"/>
        <w:bidi w:val="0"/>
        <w:spacing w:before="0" w:after="0"/>
        <w:jc w:val="left"/>
        <w:rPr>
          <w:shd w:fill="auto" w:val="clear"/>
        </w:rPr>
      </w:pPr>
      <w:r>
        <w:rPr>
          <w:shd w:fill="auto" w:val="clear"/>
        </w:rPr>
        <w:drawing>
          <wp:inline distT="0" distB="0" distL="0" distR="0">
            <wp:extent cx="6576060" cy="2132965"/>
            <wp:effectExtent l="0" t="0" r="0" b="0"/>
            <wp:docPr id="29" name="Image29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Image29" descr=""/>
                    <pic:cNvPicPr>
                      <a:picLocks noChangeAspect="1" noChangeArrowheads="1"/>
                    </pic:cNvPicPr>
                  </pic:nvPicPr>
                  <pic:blipFill>
                    <a:blip r:embed="rId3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6060" cy="21329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28" w:name="i-29"/>
      <w:bookmarkEnd w:id="28"/>
    </w:p>
    <w:tbl>
      <w:tblPr>
        <w:tblW w:w="4943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4"/>
        <w:gridCol w:w="273"/>
        <w:gridCol w:w="4546"/>
      </w:tblGrid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3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18745" cy="121920"/>
                  <wp:effectExtent l="0" t="0" r="0" b="0"/>
                  <wp:docPr id="30" name="Image30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" name="Image30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745" cy="1219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29" w:name="i-30"/>
            <w:bookmarkEnd w:id="29"/>
          </w:p>
        </w:tc>
        <w:tc>
          <w:tcPr>
            <w:tcW w:w="454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Active and empowered lead independent director role</w:t>
            </w:r>
          </w:p>
        </w:tc>
      </w:tr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3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18745" cy="121920"/>
                  <wp:effectExtent l="0" t="0" r="0" b="0"/>
                  <wp:docPr id="31" name="Image3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" name="Image3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745" cy="1219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30" w:name="i-31"/>
            <w:bookmarkEnd w:id="30"/>
          </w:p>
        </w:tc>
        <w:tc>
          <w:tcPr>
            <w:tcW w:w="454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Deliberate approach to Board refreshment, including the</w:t>
            </w: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addition of five new independent directors in the past</w:t>
            </w: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nine years (50% of the board), and rotation of leadership</w:t>
            </w: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positions</w:t>
            </w:r>
          </w:p>
        </w:tc>
      </w:tr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3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18745" cy="121920"/>
                  <wp:effectExtent l="0" t="0" r="0" b="0"/>
                  <wp:docPr id="32" name="Image3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" name="Image3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745" cy="1219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31" w:name="i-32"/>
            <w:bookmarkEnd w:id="31"/>
          </w:p>
        </w:tc>
        <w:tc>
          <w:tcPr>
            <w:tcW w:w="454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Annual election of all directors</w:t>
            </w:r>
          </w:p>
        </w:tc>
      </w:tr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3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18745" cy="121920"/>
                  <wp:effectExtent l="0" t="0" r="0" b="0"/>
                  <wp:docPr id="33" name="Image33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" name="Image33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745" cy="1219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32" w:name="i-33"/>
            <w:bookmarkEnd w:id="32"/>
          </w:p>
        </w:tc>
        <w:tc>
          <w:tcPr>
            <w:tcW w:w="454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Annual self-evaluations by the Board of Directors and its</w:t>
            </w: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Committees, as well as biennial individual interviews of each</w:t>
            </w: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director by an outside third party</w:t>
            </w:r>
          </w:p>
        </w:tc>
      </w:tr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3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18745" cy="121920"/>
                  <wp:effectExtent l="0" t="0" r="0" b="0"/>
                  <wp:docPr id="34" name="Image34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" name="Image34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745" cy="1219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33" w:name="i-34"/>
            <w:bookmarkEnd w:id="33"/>
          </w:p>
        </w:tc>
        <w:tc>
          <w:tcPr>
            <w:tcW w:w="454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Majority vote standard for uncontested director elections</w:t>
            </w:r>
          </w:p>
        </w:tc>
      </w:tr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4928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88"/>
        <w:gridCol w:w="4486"/>
        <w:gridCol w:w="154"/>
      </w:tblGrid>
      <w:tr>
        <w:trPr/>
        <w:tc>
          <w:tcPr>
            <w:tcW w:w="2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8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8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88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18745" cy="121920"/>
                  <wp:effectExtent l="0" t="0" r="0" b="0"/>
                  <wp:docPr id="35" name="Image35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" name="Image35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745" cy="1219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34" w:name="i-35"/>
            <w:bookmarkEnd w:id="34"/>
          </w:p>
        </w:tc>
        <w:tc>
          <w:tcPr>
            <w:tcW w:w="448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 xml:space="preserve">9 out of 10 (i.e. 90%) current director nominees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are independent</w:t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8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88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18745" cy="121920"/>
                  <wp:effectExtent l="0" t="0" r="0" b="0"/>
                  <wp:docPr id="36" name="Image36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6" name="Image36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745" cy="1219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35" w:name="i-36"/>
            <w:bookmarkEnd w:id="35"/>
          </w:p>
        </w:tc>
        <w:tc>
          <w:tcPr>
            <w:tcW w:w="448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Board membership marked by leadership and diversity</w:t>
            </w: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of perspectives and composition with 30% women directors</w:t>
            </w: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and 30% ethnically diverse directors; overall, 50% of the</w:t>
            </w: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Board is ethnically and/or gender diverse.</w:t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8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88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18745" cy="121920"/>
                  <wp:effectExtent l="0" t="0" r="0" b="0"/>
                  <wp:docPr id="37" name="Image37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7" name="Image37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745" cy="1219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36" w:name="i-37"/>
            <w:bookmarkEnd w:id="36"/>
          </w:p>
        </w:tc>
        <w:tc>
          <w:tcPr>
            <w:tcW w:w="448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Outside Directorship Policy pursuant to which none of our</w:t>
            </w: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directors may serve on more than 3 other public boards</w:t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8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88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18745" cy="121920"/>
                  <wp:effectExtent l="0" t="0" r="0" b="0"/>
                  <wp:docPr id="38" name="Image38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8" name="Image38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745" cy="1219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37" w:name="i-38"/>
            <w:bookmarkEnd w:id="37"/>
          </w:p>
        </w:tc>
        <w:tc>
          <w:tcPr>
            <w:tcW w:w="448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Annual performance review of the Chairman and CEO and</w:t>
            </w: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other members of the executive management team by</w:t>
            </w: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independent directors</w:t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8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Board Composition</w:t>
      </w:r>
    </w:p>
    <w:tbl>
      <w:tblPr>
        <w:tblW w:w="1020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3357"/>
        <w:gridCol w:w="421"/>
        <w:gridCol w:w="901"/>
        <w:gridCol w:w="676"/>
        <w:gridCol w:w="541"/>
        <w:gridCol w:w="1276"/>
        <w:gridCol w:w="1066"/>
        <w:gridCol w:w="871"/>
        <w:gridCol w:w="1096"/>
      </w:tblGrid>
      <w:tr>
        <w:trPr/>
        <w:tc>
          <w:tcPr>
            <w:tcW w:w="335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2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6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357" w:type="dxa"/>
            <w:tcBorders/>
            <w:shd w:fill="64BFA6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21" w:type="dxa"/>
            <w:tcBorders/>
            <w:shd w:fill="64BFA6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1" w:type="dxa"/>
            <w:tcBorders/>
            <w:shd w:fill="64BFA6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76" w:type="dxa"/>
            <w:tcBorders>
              <w:right w:val="single" w:sz="4" w:space="0" w:color="FFFFFF"/>
            </w:tcBorders>
            <w:shd w:fill="64BFA6" w:val="clear"/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41" w:type="dxa"/>
            <w:tcBorders>
              <w:left w:val="single" w:sz="4" w:space="0" w:color="FFFFFF"/>
            </w:tcBorders>
            <w:shd w:fill="64BFA6" w:val="clear"/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76" w:type="dxa"/>
            <w:tcBorders/>
            <w:shd w:fill="64BFA6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66" w:type="dxa"/>
            <w:tcBorders/>
            <w:shd w:fill="64BFA6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1" w:type="dxa"/>
            <w:tcBorders/>
            <w:shd w:fill="64BFA6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6" w:type="dxa"/>
            <w:tcBorders/>
            <w:shd w:fill="64BFA6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357" w:type="dxa"/>
            <w:tcBorders/>
            <w:shd w:fill="64BFA6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Name</w:t>
            </w:r>
          </w:p>
        </w:tc>
        <w:tc>
          <w:tcPr>
            <w:tcW w:w="421" w:type="dxa"/>
            <w:tcBorders/>
            <w:shd w:fill="64BFA6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Age</w:t>
            </w:r>
          </w:p>
        </w:tc>
        <w:tc>
          <w:tcPr>
            <w:tcW w:w="901" w:type="dxa"/>
            <w:tcBorders/>
            <w:shd w:fill="64BFA6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Director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Since</w:t>
            </w:r>
          </w:p>
        </w:tc>
        <w:tc>
          <w:tcPr>
            <w:tcW w:w="676" w:type="dxa"/>
            <w:tcBorders>
              <w:right w:val="single" w:sz="4" w:space="0" w:color="FFFFFF"/>
            </w:tcBorders>
            <w:shd w:fill="64BFA6" w:val="clear"/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Other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Public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Boards</w:t>
            </w:r>
          </w:p>
        </w:tc>
        <w:tc>
          <w:tcPr>
            <w:tcW w:w="541" w:type="dxa"/>
            <w:tcBorders>
              <w:left w:val="single" w:sz="4" w:space="0" w:color="FFFFFF"/>
            </w:tcBorders>
            <w:shd w:fill="64BFA6" w:val="clear"/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Audit</w:t>
            </w:r>
          </w:p>
        </w:tc>
        <w:tc>
          <w:tcPr>
            <w:tcW w:w="1276" w:type="dxa"/>
            <w:tcBorders/>
            <w:shd w:fill="64BFA6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Compensation</w:t>
            </w:r>
          </w:p>
        </w:tc>
        <w:tc>
          <w:tcPr>
            <w:tcW w:w="1066" w:type="dxa"/>
            <w:tcBorders/>
            <w:shd w:fill="64BFA6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Corporate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Governance</w:t>
            </w:r>
          </w:p>
        </w:tc>
        <w:tc>
          <w:tcPr>
            <w:tcW w:w="871" w:type="dxa"/>
            <w:tcBorders/>
            <w:shd w:fill="64BFA6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Executive</w:t>
            </w:r>
          </w:p>
        </w:tc>
        <w:tc>
          <w:tcPr>
            <w:tcW w:w="1096" w:type="dxa"/>
            <w:tcBorders/>
            <w:shd w:fill="64BFA6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Technology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Risk</w:t>
            </w:r>
          </w:p>
        </w:tc>
      </w:tr>
      <w:tr>
        <w:trPr/>
        <w:tc>
          <w:tcPr>
            <w:tcW w:w="3357" w:type="dxa"/>
            <w:tcBorders>
              <w:bottom w:val="single" w:sz="2" w:space="0" w:color="64BFA6"/>
            </w:tcBorders>
            <w:shd w:fill="64BFA6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21" w:type="dxa"/>
            <w:tcBorders>
              <w:bottom w:val="single" w:sz="2" w:space="0" w:color="64BFA6"/>
            </w:tcBorders>
            <w:shd w:fill="64BFA6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1" w:type="dxa"/>
            <w:tcBorders>
              <w:bottom w:val="single" w:sz="2" w:space="0" w:color="64BFA6"/>
            </w:tcBorders>
            <w:shd w:fill="64BFA6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76" w:type="dxa"/>
            <w:tcBorders>
              <w:bottom w:val="single" w:sz="2" w:space="0" w:color="64BFA6"/>
              <w:right w:val="single" w:sz="4" w:space="0" w:color="FFFFFF"/>
            </w:tcBorders>
            <w:shd w:fill="64BFA6" w:val="clear"/>
            <w:tcMar>
              <w:top w:w="0" w:type="dxa"/>
              <w:lef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41" w:type="dxa"/>
            <w:tcBorders>
              <w:left w:val="single" w:sz="4" w:space="0" w:color="FFFFFF"/>
              <w:bottom w:val="single" w:sz="2" w:space="0" w:color="64BFA6"/>
            </w:tcBorders>
            <w:shd w:fill="64BFA6" w:val="clear"/>
            <w:tcMar>
              <w:top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76" w:type="dxa"/>
            <w:tcBorders>
              <w:bottom w:val="single" w:sz="2" w:space="0" w:color="64BFA6"/>
            </w:tcBorders>
            <w:shd w:fill="64BFA6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66" w:type="dxa"/>
            <w:tcBorders>
              <w:bottom w:val="single" w:sz="2" w:space="0" w:color="64BFA6"/>
            </w:tcBorders>
            <w:shd w:fill="64BFA6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1" w:type="dxa"/>
            <w:tcBorders>
              <w:bottom w:val="single" w:sz="2" w:space="0" w:color="64BFA6"/>
            </w:tcBorders>
            <w:shd w:fill="64BFA6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6" w:type="dxa"/>
            <w:tcBorders>
              <w:bottom w:val="single" w:sz="2" w:space="0" w:color="64BFA6"/>
            </w:tcBorders>
            <w:shd w:fill="64BFA6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357" w:type="dxa"/>
            <w:tcBorders>
              <w:top w:val="single" w:sz="2" w:space="0" w:color="64BFA6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21" w:type="dxa"/>
            <w:tcBorders>
              <w:top w:val="single" w:sz="2" w:space="0" w:color="64BFA6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1" w:type="dxa"/>
            <w:tcBorders>
              <w:top w:val="single" w:sz="2" w:space="0" w:color="64BFA6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76" w:type="dxa"/>
            <w:tcBorders>
              <w:top w:val="single" w:sz="2" w:space="0" w:color="64BFA6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41" w:type="dxa"/>
            <w:tcBorders>
              <w:top w:val="single" w:sz="2" w:space="0" w:color="64BFA6"/>
            </w:tcBorders>
            <w:shd w:fill="F6F9F9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76" w:type="dxa"/>
            <w:tcBorders>
              <w:top w:val="single" w:sz="2" w:space="0" w:color="64BFA6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66" w:type="dxa"/>
            <w:tcBorders>
              <w:top w:val="single" w:sz="2" w:space="0" w:color="64BFA6"/>
            </w:tcBorders>
            <w:shd w:fill="F6F9F9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1" w:type="dxa"/>
            <w:tcBorders>
              <w:top w:val="single" w:sz="2" w:space="0" w:color="64BFA6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6" w:type="dxa"/>
            <w:tcBorders>
              <w:top w:val="single" w:sz="2" w:space="0" w:color="64BFA6"/>
            </w:tcBorders>
            <w:shd w:fill="F6F9F9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357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LaVerne</w:t>
            </w: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 xml:space="preserve"> 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Srinivasan</w:t>
            </w: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516890" cy="91440"/>
                  <wp:effectExtent l="0" t="0" r="0" b="0"/>
                  <wp:docPr id="39" name="Image39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9" name="Image39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6890" cy="914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38" w:name="i-39"/>
            <w:bookmarkEnd w:id="38"/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Lead Independent Director since September 21, 2023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Retired Vice President, Carnegie Corporation of New York</w:t>
            </w:r>
          </w:p>
        </w:tc>
        <w:tc>
          <w:tcPr>
            <w:tcW w:w="42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64</w:t>
            </w:r>
          </w:p>
        </w:tc>
        <w:tc>
          <w:tcPr>
            <w:tcW w:w="90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March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2017</w:t>
            </w:r>
          </w:p>
        </w:tc>
        <w:tc>
          <w:tcPr>
            <w:tcW w:w="67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0</w:t>
            </w:r>
          </w:p>
        </w:tc>
        <w:tc>
          <w:tcPr>
            <w:tcW w:w="541" w:type="dxa"/>
            <w:tcBorders/>
            <w:shd w:fill="F6F9F9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66" w:type="dxa"/>
            <w:tcBorders/>
            <w:shd w:fill="F6F9F9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37160" cy="127000"/>
                  <wp:effectExtent l="0" t="0" r="0" b="0"/>
                  <wp:docPr id="40" name="Image40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Image40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160" cy="127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39" w:name="i-40"/>
            <w:bookmarkEnd w:id="39"/>
          </w:p>
        </w:tc>
        <w:tc>
          <w:tcPr>
            <w:tcW w:w="1096" w:type="dxa"/>
            <w:tcBorders/>
            <w:shd w:fill="F6F9F9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357" w:type="dxa"/>
            <w:tcBorders>
              <w:bottom w:val="single" w:sz="2" w:space="0" w:color="8C8D8F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21" w:type="dxa"/>
            <w:tcBorders>
              <w:bottom w:val="single" w:sz="2" w:space="0" w:color="8C8D8F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1" w:type="dxa"/>
            <w:tcBorders>
              <w:bottom w:val="single" w:sz="2" w:space="0" w:color="8C8D8F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76" w:type="dxa"/>
            <w:tcBorders>
              <w:bottom w:val="single" w:sz="2" w:space="0" w:color="8C8D8F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41" w:type="dxa"/>
            <w:tcBorders>
              <w:bottom w:val="single" w:sz="2" w:space="0" w:color="8C8D8F"/>
            </w:tcBorders>
            <w:shd w:fill="F6F9F9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76" w:type="dxa"/>
            <w:tcBorders>
              <w:bottom w:val="single" w:sz="2" w:space="0" w:color="8C8D8F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66" w:type="dxa"/>
            <w:tcBorders>
              <w:bottom w:val="single" w:sz="2" w:space="0" w:color="8C8D8F"/>
            </w:tcBorders>
            <w:shd w:fill="F6F9F9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1" w:type="dxa"/>
            <w:tcBorders>
              <w:bottom w:val="single" w:sz="2" w:space="0" w:color="8C8D8F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6" w:type="dxa"/>
            <w:tcBorders>
              <w:bottom w:val="single" w:sz="2" w:space="0" w:color="8C8D8F"/>
            </w:tcBorders>
            <w:shd w:fill="F6F9F9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357" w:type="dxa"/>
            <w:tcBorders>
              <w:top w:val="single" w:sz="2" w:space="0" w:color="8C8D8F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21" w:type="dxa"/>
            <w:tcBorders>
              <w:top w:val="single" w:sz="2" w:space="0" w:color="8C8D8F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1" w:type="dxa"/>
            <w:tcBorders>
              <w:top w:val="single" w:sz="2" w:space="0" w:color="8C8D8F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76" w:type="dxa"/>
            <w:tcBorders>
              <w:top w:val="single" w:sz="2" w:space="0" w:color="8C8D8F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41" w:type="dxa"/>
            <w:tcBorders>
              <w:top w:val="single" w:sz="2" w:space="0" w:color="8C8D8F"/>
            </w:tcBorders>
            <w:shd w:fill="F6F9F9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76" w:type="dxa"/>
            <w:tcBorders>
              <w:top w:val="single" w:sz="2" w:space="0" w:color="8C8D8F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66" w:type="dxa"/>
            <w:tcBorders>
              <w:top w:val="single" w:sz="2" w:space="0" w:color="8C8D8F"/>
            </w:tcBorders>
            <w:shd w:fill="F6F9F9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1" w:type="dxa"/>
            <w:tcBorders>
              <w:top w:val="single" w:sz="2" w:space="0" w:color="8C8D8F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6" w:type="dxa"/>
            <w:tcBorders>
              <w:top w:val="single" w:sz="2" w:space="0" w:color="8C8D8F"/>
            </w:tcBorders>
            <w:shd w:fill="F6F9F9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357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 xml:space="preserve">Michael Dornemann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516255" cy="91440"/>
                  <wp:effectExtent l="0" t="0" r="0" b="0"/>
                  <wp:docPr id="41" name="Image4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" name="Image4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6255" cy="914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40" w:name="i-41"/>
            <w:bookmarkEnd w:id="40"/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Retired Chairman and CEO, Bertelsmann Entertainment</w:t>
            </w:r>
          </w:p>
        </w:tc>
        <w:tc>
          <w:tcPr>
            <w:tcW w:w="42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80</w:t>
            </w:r>
          </w:p>
        </w:tc>
        <w:tc>
          <w:tcPr>
            <w:tcW w:w="90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March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2007</w:t>
            </w:r>
          </w:p>
        </w:tc>
        <w:tc>
          <w:tcPr>
            <w:tcW w:w="67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0</w:t>
            </w:r>
          </w:p>
        </w:tc>
        <w:tc>
          <w:tcPr>
            <w:tcW w:w="541" w:type="dxa"/>
            <w:tcBorders/>
            <w:shd w:fill="F6F9F9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76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91440" cy="91440"/>
                  <wp:effectExtent l="0" t="0" r="0" b="0"/>
                  <wp:docPr id="42" name="Image4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" name="Image4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440" cy="914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41" w:name="i-42"/>
            <w:bookmarkEnd w:id="41"/>
          </w:p>
        </w:tc>
        <w:tc>
          <w:tcPr>
            <w:tcW w:w="1066" w:type="dxa"/>
            <w:tcBorders/>
            <w:shd w:fill="F6F9F9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91440" cy="91440"/>
                  <wp:effectExtent l="0" t="0" r="0" b="0"/>
                  <wp:docPr id="43" name="Image43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3" name="Image43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440" cy="914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42" w:name="i-43"/>
            <w:bookmarkEnd w:id="42"/>
          </w:p>
        </w:tc>
        <w:tc>
          <w:tcPr>
            <w:tcW w:w="1096" w:type="dxa"/>
            <w:tcBorders/>
            <w:shd w:fill="F6F9F9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357" w:type="dxa"/>
            <w:tcBorders>
              <w:bottom w:val="single" w:sz="2" w:space="0" w:color="8C8D8F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21" w:type="dxa"/>
            <w:tcBorders>
              <w:bottom w:val="single" w:sz="2" w:space="0" w:color="8C8D8F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1" w:type="dxa"/>
            <w:tcBorders>
              <w:bottom w:val="single" w:sz="2" w:space="0" w:color="8C8D8F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76" w:type="dxa"/>
            <w:tcBorders>
              <w:bottom w:val="single" w:sz="2" w:space="0" w:color="8C8D8F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41" w:type="dxa"/>
            <w:tcBorders>
              <w:bottom w:val="single" w:sz="2" w:space="0" w:color="8C8D8F"/>
            </w:tcBorders>
            <w:shd w:fill="F6F9F9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76" w:type="dxa"/>
            <w:tcBorders>
              <w:bottom w:val="single" w:sz="2" w:space="0" w:color="8C8D8F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66" w:type="dxa"/>
            <w:tcBorders>
              <w:bottom w:val="single" w:sz="2" w:space="0" w:color="8C8D8F"/>
            </w:tcBorders>
            <w:shd w:fill="F6F9F9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1" w:type="dxa"/>
            <w:tcBorders>
              <w:bottom w:val="single" w:sz="2" w:space="0" w:color="8C8D8F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6" w:type="dxa"/>
            <w:tcBorders>
              <w:bottom w:val="single" w:sz="2" w:space="0" w:color="8C8D8F"/>
            </w:tcBorders>
            <w:shd w:fill="F6F9F9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357" w:type="dxa"/>
            <w:tcBorders>
              <w:top w:val="single" w:sz="2" w:space="0" w:color="8C8D8F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21" w:type="dxa"/>
            <w:tcBorders>
              <w:top w:val="single" w:sz="2" w:space="0" w:color="8C8D8F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1" w:type="dxa"/>
            <w:tcBorders>
              <w:top w:val="single" w:sz="2" w:space="0" w:color="8C8D8F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76" w:type="dxa"/>
            <w:tcBorders>
              <w:top w:val="single" w:sz="2" w:space="0" w:color="8C8D8F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41" w:type="dxa"/>
            <w:tcBorders>
              <w:top w:val="single" w:sz="2" w:space="0" w:color="8C8D8F"/>
            </w:tcBorders>
            <w:shd w:fill="F6F9F9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76" w:type="dxa"/>
            <w:tcBorders>
              <w:top w:val="single" w:sz="2" w:space="0" w:color="8C8D8F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66" w:type="dxa"/>
            <w:tcBorders>
              <w:top w:val="single" w:sz="2" w:space="0" w:color="8C8D8F"/>
            </w:tcBorders>
            <w:shd w:fill="F6F9F9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1" w:type="dxa"/>
            <w:tcBorders>
              <w:top w:val="single" w:sz="2" w:space="0" w:color="8C8D8F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6" w:type="dxa"/>
            <w:tcBorders>
              <w:top w:val="single" w:sz="2" w:space="0" w:color="8C8D8F"/>
            </w:tcBorders>
            <w:shd w:fill="F6F9F9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357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 xml:space="preserve">William “Bing” Gordon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516255" cy="91440"/>
                  <wp:effectExtent l="0" t="0" r="0" b="0"/>
                  <wp:docPr id="44" name="Image44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" name="Image44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6255" cy="914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43" w:name="i-44"/>
            <w:bookmarkEnd w:id="43"/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Partner, Kleiner Perkins Caufield &amp; Byers</w:t>
            </w:r>
          </w:p>
        </w:tc>
        <w:tc>
          <w:tcPr>
            <w:tcW w:w="42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76</w:t>
            </w:r>
          </w:p>
        </w:tc>
        <w:tc>
          <w:tcPr>
            <w:tcW w:w="90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May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2022</w:t>
            </w:r>
          </w:p>
        </w:tc>
        <w:tc>
          <w:tcPr>
            <w:tcW w:w="67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</w:t>
            </w:r>
          </w:p>
        </w:tc>
        <w:tc>
          <w:tcPr>
            <w:tcW w:w="541" w:type="dxa"/>
            <w:tcBorders/>
            <w:shd w:fill="F6F9F9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66" w:type="dxa"/>
            <w:tcBorders/>
            <w:shd w:fill="F6F9F9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6" w:type="dxa"/>
            <w:tcBorders/>
            <w:shd w:fill="F6F9F9" w:val="clear"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91440" cy="91440"/>
                  <wp:effectExtent l="0" t="0" r="0" b="0"/>
                  <wp:docPr id="45" name="Image45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5" name="Image45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440" cy="914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44" w:name="i-45"/>
            <w:bookmarkEnd w:id="44"/>
          </w:p>
        </w:tc>
      </w:tr>
      <w:tr>
        <w:trPr/>
        <w:tc>
          <w:tcPr>
            <w:tcW w:w="3357" w:type="dxa"/>
            <w:tcBorders>
              <w:bottom w:val="single" w:sz="2" w:space="0" w:color="8C8D8F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21" w:type="dxa"/>
            <w:tcBorders>
              <w:bottom w:val="single" w:sz="2" w:space="0" w:color="8C8D8F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1" w:type="dxa"/>
            <w:tcBorders>
              <w:bottom w:val="single" w:sz="2" w:space="0" w:color="8C8D8F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76" w:type="dxa"/>
            <w:tcBorders>
              <w:bottom w:val="single" w:sz="2" w:space="0" w:color="8C8D8F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41" w:type="dxa"/>
            <w:tcBorders>
              <w:bottom w:val="single" w:sz="2" w:space="0" w:color="8C8D8F"/>
            </w:tcBorders>
            <w:shd w:fill="F6F9F9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76" w:type="dxa"/>
            <w:tcBorders>
              <w:bottom w:val="single" w:sz="2" w:space="0" w:color="8C8D8F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66" w:type="dxa"/>
            <w:tcBorders>
              <w:bottom w:val="single" w:sz="2" w:space="0" w:color="8C8D8F"/>
            </w:tcBorders>
            <w:shd w:fill="F6F9F9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1" w:type="dxa"/>
            <w:tcBorders>
              <w:bottom w:val="single" w:sz="2" w:space="0" w:color="8C8D8F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6" w:type="dxa"/>
            <w:tcBorders>
              <w:bottom w:val="single" w:sz="2" w:space="0" w:color="8C8D8F"/>
            </w:tcBorders>
            <w:shd w:fill="F6F9F9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357" w:type="dxa"/>
            <w:tcBorders>
              <w:top w:val="single" w:sz="2" w:space="0" w:color="8C8D8F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21" w:type="dxa"/>
            <w:tcBorders>
              <w:top w:val="single" w:sz="2" w:space="0" w:color="8C8D8F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1" w:type="dxa"/>
            <w:tcBorders>
              <w:top w:val="single" w:sz="2" w:space="0" w:color="8C8D8F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76" w:type="dxa"/>
            <w:tcBorders>
              <w:top w:val="single" w:sz="2" w:space="0" w:color="8C8D8F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41" w:type="dxa"/>
            <w:tcBorders>
              <w:top w:val="single" w:sz="2" w:space="0" w:color="8C8D8F"/>
            </w:tcBorders>
            <w:shd w:fill="F6F9F9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76" w:type="dxa"/>
            <w:tcBorders>
              <w:top w:val="single" w:sz="2" w:space="0" w:color="8C8D8F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66" w:type="dxa"/>
            <w:tcBorders>
              <w:top w:val="single" w:sz="2" w:space="0" w:color="8C8D8F"/>
            </w:tcBorders>
            <w:shd w:fill="F6F9F9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1" w:type="dxa"/>
            <w:tcBorders>
              <w:top w:val="single" w:sz="2" w:space="0" w:color="8C8D8F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6" w:type="dxa"/>
            <w:tcBorders>
              <w:top w:val="single" w:sz="2" w:space="0" w:color="8C8D8F"/>
            </w:tcBorders>
            <w:shd w:fill="F6F9F9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357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 xml:space="preserve">Roland Hernandez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516255" cy="91440"/>
                  <wp:effectExtent l="0" t="0" r="0" b="0"/>
                  <wp:docPr id="46" name="Image46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6" name="Image46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6255" cy="914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45" w:name="i-46"/>
            <w:bookmarkEnd w:id="45"/>
          </w:p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Founding Principal and CEO of Hernandez Media</w:t>
            </w: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 xml:space="preserve"> 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Ventures</w:t>
            </w:r>
          </w:p>
        </w:tc>
        <w:tc>
          <w:tcPr>
            <w:tcW w:w="42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68</w:t>
            </w:r>
          </w:p>
        </w:tc>
        <w:tc>
          <w:tcPr>
            <w:tcW w:w="90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September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2019</w:t>
            </w:r>
          </w:p>
        </w:tc>
        <w:tc>
          <w:tcPr>
            <w:tcW w:w="67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</w:t>
            </w:r>
          </w:p>
        </w:tc>
        <w:tc>
          <w:tcPr>
            <w:tcW w:w="541" w:type="dxa"/>
            <w:tcBorders/>
            <w:shd w:fill="F6F9F9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76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91440" cy="91440"/>
                  <wp:effectExtent l="0" t="0" r="0" b="0"/>
                  <wp:docPr id="47" name="Image47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7" name="Image47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440" cy="914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46" w:name="i-47"/>
            <w:bookmarkEnd w:id="46"/>
          </w:p>
        </w:tc>
        <w:tc>
          <w:tcPr>
            <w:tcW w:w="1066" w:type="dxa"/>
            <w:tcBorders/>
            <w:shd w:fill="F6F9F9" w:val="clear"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35255" cy="128270"/>
                  <wp:effectExtent l="0" t="0" r="0" b="0"/>
                  <wp:docPr id="48" name="Image48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8" name="Image48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255" cy="1282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47" w:name="i-48"/>
            <w:bookmarkEnd w:id="47"/>
          </w:p>
        </w:tc>
        <w:tc>
          <w:tcPr>
            <w:tcW w:w="8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6" w:type="dxa"/>
            <w:tcBorders/>
            <w:shd w:fill="F6F9F9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357" w:type="dxa"/>
            <w:tcBorders>
              <w:bottom w:val="single" w:sz="2" w:space="0" w:color="8C8D8F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21" w:type="dxa"/>
            <w:tcBorders>
              <w:bottom w:val="single" w:sz="2" w:space="0" w:color="8C8D8F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1" w:type="dxa"/>
            <w:tcBorders>
              <w:bottom w:val="single" w:sz="2" w:space="0" w:color="8C8D8F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76" w:type="dxa"/>
            <w:tcBorders>
              <w:bottom w:val="single" w:sz="2" w:space="0" w:color="8C8D8F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41" w:type="dxa"/>
            <w:tcBorders>
              <w:bottom w:val="single" w:sz="2" w:space="0" w:color="8C8D8F"/>
            </w:tcBorders>
            <w:shd w:fill="F6F9F9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76" w:type="dxa"/>
            <w:tcBorders>
              <w:bottom w:val="single" w:sz="2" w:space="0" w:color="8C8D8F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66" w:type="dxa"/>
            <w:tcBorders>
              <w:bottom w:val="single" w:sz="2" w:space="0" w:color="8C8D8F"/>
            </w:tcBorders>
            <w:shd w:fill="F6F9F9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1" w:type="dxa"/>
            <w:tcBorders>
              <w:bottom w:val="single" w:sz="2" w:space="0" w:color="8C8D8F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6" w:type="dxa"/>
            <w:tcBorders>
              <w:bottom w:val="single" w:sz="2" w:space="0" w:color="8C8D8F"/>
            </w:tcBorders>
            <w:shd w:fill="F6F9F9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357" w:type="dxa"/>
            <w:tcBorders>
              <w:top w:val="single" w:sz="2" w:space="0" w:color="8C8D8F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21" w:type="dxa"/>
            <w:tcBorders>
              <w:top w:val="single" w:sz="2" w:space="0" w:color="8C8D8F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1" w:type="dxa"/>
            <w:tcBorders>
              <w:top w:val="single" w:sz="2" w:space="0" w:color="8C8D8F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76" w:type="dxa"/>
            <w:tcBorders>
              <w:top w:val="single" w:sz="2" w:space="0" w:color="8C8D8F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41" w:type="dxa"/>
            <w:tcBorders>
              <w:top w:val="single" w:sz="2" w:space="0" w:color="8C8D8F"/>
            </w:tcBorders>
            <w:shd w:fill="F6F9F9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76" w:type="dxa"/>
            <w:tcBorders>
              <w:top w:val="single" w:sz="2" w:space="0" w:color="8C8D8F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66" w:type="dxa"/>
            <w:tcBorders>
              <w:top w:val="single" w:sz="2" w:space="0" w:color="8C8D8F"/>
            </w:tcBorders>
            <w:shd w:fill="F6F9F9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1" w:type="dxa"/>
            <w:tcBorders>
              <w:top w:val="single" w:sz="2" w:space="0" w:color="8C8D8F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6" w:type="dxa"/>
            <w:tcBorders>
              <w:top w:val="single" w:sz="2" w:space="0" w:color="8C8D8F"/>
            </w:tcBorders>
            <w:shd w:fill="F6F9F9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357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 xml:space="preserve">J Moses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516255" cy="91440"/>
                  <wp:effectExtent l="0" t="0" r="0" b="0"/>
                  <wp:docPr id="49" name="Image49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9" name="Image49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6255" cy="914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48" w:name="i-49"/>
            <w:bookmarkEnd w:id="48"/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Principal, J Moses Projects</w:t>
            </w:r>
          </w:p>
        </w:tc>
        <w:tc>
          <w:tcPr>
            <w:tcW w:w="42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67</w:t>
            </w:r>
          </w:p>
        </w:tc>
        <w:tc>
          <w:tcPr>
            <w:tcW w:w="90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March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2007</w:t>
            </w:r>
          </w:p>
        </w:tc>
        <w:tc>
          <w:tcPr>
            <w:tcW w:w="67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0</w:t>
            </w:r>
          </w:p>
        </w:tc>
        <w:tc>
          <w:tcPr>
            <w:tcW w:w="541" w:type="dxa"/>
            <w:tcBorders/>
            <w:shd w:fill="F6F9F9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66" w:type="dxa"/>
            <w:tcBorders/>
            <w:shd w:fill="F6F9F9" w:val="clear"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91440" cy="91440"/>
                  <wp:effectExtent l="0" t="0" r="0" b="0"/>
                  <wp:docPr id="50" name="Image50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0" name="Image50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440" cy="914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49" w:name="i-50"/>
            <w:bookmarkEnd w:id="49"/>
          </w:p>
        </w:tc>
        <w:tc>
          <w:tcPr>
            <w:tcW w:w="8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6" w:type="dxa"/>
            <w:tcBorders/>
            <w:shd w:fill="F6F9F9" w:val="clear"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35255" cy="128270"/>
                  <wp:effectExtent l="0" t="0" r="0" b="0"/>
                  <wp:docPr id="51" name="Image5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1" name="Image5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255" cy="1282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50" w:name="i-51"/>
            <w:bookmarkEnd w:id="50"/>
          </w:p>
        </w:tc>
      </w:tr>
      <w:tr>
        <w:trPr/>
        <w:tc>
          <w:tcPr>
            <w:tcW w:w="3357" w:type="dxa"/>
            <w:tcBorders>
              <w:bottom w:val="single" w:sz="2" w:space="0" w:color="8C8D8F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21" w:type="dxa"/>
            <w:tcBorders>
              <w:bottom w:val="single" w:sz="2" w:space="0" w:color="8C8D8F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1" w:type="dxa"/>
            <w:tcBorders>
              <w:bottom w:val="single" w:sz="2" w:space="0" w:color="8C8D8F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76" w:type="dxa"/>
            <w:tcBorders>
              <w:bottom w:val="single" w:sz="2" w:space="0" w:color="8C8D8F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41" w:type="dxa"/>
            <w:tcBorders>
              <w:bottom w:val="single" w:sz="2" w:space="0" w:color="8C8D8F"/>
            </w:tcBorders>
            <w:shd w:fill="F6F9F9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76" w:type="dxa"/>
            <w:tcBorders>
              <w:bottom w:val="single" w:sz="2" w:space="0" w:color="8C8D8F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66" w:type="dxa"/>
            <w:tcBorders>
              <w:bottom w:val="single" w:sz="2" w:space="0" w:color="8C8D8F"/>
            </w:tcBorders>
            <w:shd w:fill="F6F9F9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1" w:type="dxa"/>
            <w:tcBorders>
              <w:bottom w:val="single" w:sz="2" w:space="0" w:color="8C8D8F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6" w:type="dxa"/>
            <w:tcBorders>
              <w:bottom w:val="single" w:sz="2" w:space="0" w:color="8C8D8F"/>
            </w:tcBorders>
            <w:shd w:fill="F6F9F9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357" w:type="dxa"/>
            <w:tcBorders>
              <w:top w:val="single" w:sz="2" w:space="0" w:color="8C8D8F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21" w:type="dxa"/>
            <w:tcBorders>
              <w:top w:val="single" w:sz="2" w:space="0" w:color="8C8D8F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1" w:type="dxa"/>
            <w:tcBorders>
              <w:top w:val="single" w:sz="2" w:space="0" w:color="8C8D8F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76" w:type="dxa"/>
            <w:tcBorders>
              <w:top w:val="single" w:sz="2" w:space="0" w:color="8C8D8F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41" w:type="dxa"/>
            <w:tcBorders>
              <w:top w:val="single" w:sz="2" w:space="0" w:color="8C8D8F"/>
            </w:tcBorders>
            <w:shd w:fill="F6F9F9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76" w:type="dxa"/>
            <w:tcBorders>
              <w:top w:val="single" w:sz="2" w:space="0" w:color="8C8D8F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66" w:type="dxa"/>
            <w:tcBorders>
              <w:top w:val="single" w:sz="2" w:space="0" w:color="8C8D8F"/>
            </w:tcBorders>
            <w:shd w:fill="F6F9F9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1" w:type="dxa"/>
            <w:tcBorders>
              <w:top w:val="single" w:sz="2" w:space="0" w:color="8C8D8F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6" w:type="dxa"/>
            <w:tcBorders>
              <w:top w:val="single" w:sz="2" w:space="0" w:color="8C8D8F"/>
            </w:tcBorders>
            <w:shd w:fill="F6F9F9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357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 xml:space="preserve">Michael Sheresky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516255" cy="91440"/>
                  <wp:effectExtent l="0" t="0" r="0" b="0"/>
                  <wp:docPr id="52" name="Image5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2" name="Image5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6255" cy="914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51" w:name="i-52"/>
            <w:bookmarkEnd w:id="51"/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Partner, United Talent Agency</w:t>
            </w:r>
          </w:p>
        </w:tc>
        <w:tc>
          <w:tcPr>
            <w:tcW w:w="42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58</w:t>
            </w:r>
          </w:p>
        </w:tc>
        <w:tc>
          <w:tcPr>
            <w:tcW w:w="90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March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2007</w:t>
            </w:r>
          </w:p>
        </w:tc>
        <w:tc>
          <w:tcPr>
            <w:tcW w:w="67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0</w:t>
            </w:r>
          </w:p>
        </w:tc>
        <w:tc>
          <w:tcPr>
            <w:tcW w:w="541" w:type="dxa"/>
            <w:tcBorders/>
            <w:shd w:fill="F6F9F9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76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37160" cy="127000"/>
                  <wp:effectExtent l="0" t="0" r="0" b="0"/>
                  <wp:docPr id="53" name="Image53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3" name="Image53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160" cy="127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52" w:name="i-53"/>
            <w:bookmarkEnd w:id="52"/>
          </w:p>
        </w:tc>
        <w:tc>
          <w:tcPr>
            <w:tcW w:w="1066" w:type="dxa"/>
            <w:tcBorders/>
            <w:shd w:fill="F6F9F9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6" w:type="dxa"/>
            <w:tcBorders/>
            <w:shd w:fill="F6F9F9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357" w:type="dxa"/>
            <w:tcBorders>
              <w:bottom w:val="single" w:sz="2" w:space="0" w:color="8C8D8F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21" w:type="dxa"/>
            <w:tcBorders>
              <w:bottom w:val="single" w:sz="2" w:space="0" w:color="8C8D8F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1" w:type="dxa"/>
            <w:tcBorders>
              <w:bottom w:val="single" w:sz="2" w:space="0" w:color="8C8D8F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76" w:type="dxa"/>
            <w:tcBorders>
              <w:bottom w:val="single" w:sz="2" w:space="0" w:color="8C8D8F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41" w:type="dxa"/>
            <w:tcBorders>
              <w:bottom w:val="single" w:sz="2" w:space="0" w:color="8C8D8F"/>
            </w:tcBorders>
            <w:shd w:fill="F6F9F9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76" w:type="dxa"/>
            <w:tcBorders>
              <w:bottom w:val="single" w:sz="2" w:space="0" w:color="8C8D8F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66" w:type="dxa"/>
            <w:tcBorders>
              <w:bottom w:val="single" w:sz="2" w:space="0" w:color="8C8D8F"/>
            </w:tcBorders>
            <w:shd w:fill="F6F9F9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1" w:type="dxa"/>
            <w:tcBorders>
              <w:bottom w:val="single" w:sz="2" w:space="0" w:color="8C8D8F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6" w:type="dxa"/>
            <w:tcBorders>
              <w:bottom w:val="single" w:sz="2" w:space="0" w:color="8C8D8F"/>
            </w:tcBorders>
            <w:shd w:fill="F6F9F9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357" w:type="dxa"/>
            <w:tcBorders>
              <w:top w:val="single" w:sz="2" w:space="0" w:color="8C8D8F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21" w:type="dxa"/>
            <w:tcBorders>
              <w:top w:val="single" w:sz="2" w:space="0" w:color="8C8D8F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1" w:type="dxa"/>
            <w:tcBorders>
              <w:top w:val="single" w:sz="2" w:space="0" w:color="8C8D8F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76" w:type="dxa"/>
            <w:tcBorders>
              <w:top w:val="single" w:sz="2" w:space="0" w:color="8C8D8F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41" w:type="dxa"/>
            <w:tcBorders>
              <w:top w:val="single" w:sz="2" w:space="0" w:color="8C8D8F"/>
            </w:tcBorders>
            <w:shd w:fill="F6F9F9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76" w:type="dxa"/>
            <w:tcBorders>
              <w:top w:val="single" w:sz="2" w:space="0" w:color="8C8D8F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66" w:type="dxa"/>
            <w:tcBorders>
              <w:top w:val="single" w:sz="2" w:space="0" w:color="8C8D8F"/>
            </w:tcBorders>
            <w:shd w:fill="F6F9F9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1" w:type="dxa"/>
            <w:tcBorders>
              <w:top w:val="single" w:sz="2" w:space="0" w:color="8C8D8F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6" w:type="dxa"/>
            <w:tcBorders>
              <w:top w:val="single" w:sz="2" w:space="0" w:color="8C8D8F"/>
            </w:tcBorders>
            <w:shd w:fill="F6F9F9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357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 xml:space="preserve">Ellen Siminoff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516255" cy="91440"/>
                  <wp:effectExtent l="0" t="0" r="0" b="0"/>
                  <wp:docPr id="54" name="Image54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4" name="Image54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6255" cy="914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53" w:name="i-54"/>
            <w:bookmarkEnd w:id="53"/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Seasoned media and technology executive and board member</w:t>
            </w:r>
          </w:p>
        </w:tc>
        <w:tc>
          <w:tcPr>
            <w:tcW w:w="42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58</w:t>
            </w:r>
          </w:p>
        </w:tc>
        <w:tc>
          <w:tcPr>
            <w:tcW w:w="90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May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2022</w:t>
            </w:r>
          </w:p>
        </w:tc>
        <w:tc>
          <w:tcPr>
            <w:tcW w:w="67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</w:t>
            </w:r>
          </w:p>
        </w:tc>
        <w:tc>
          <w:tcPr>
            <w:tcW w:w="541" w:type="dxa"/>
            <w:tcBorders/>
            <w:shd w:fill="F6F9F9" w:val="clear"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91440" cy="91440"/>
                  <wp:effectExtent l="0" t="0" r="0" b="0"/>
                  <wp:docPr id="55" name="Image55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5" name="Image55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440" cy="914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54" w:name="i-55"/>
            <w:bookmarkEnd w:id="54"/>
          </w:p>
        </w:tc>
        <w:tc>
          <w:tcPr>
            <w:tcW w:w="12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66" w:type="dxa"/>
            <w:tcBorders/>
            <w:shd w:fill="F6F9F9" w:val="clear"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91440" cy="91440"/>
                  <wp:effectExtent l="0" t="0" r="0" b="0"/>
                  <wp:docPr id="56" name="Image56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6" name="Image56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440" cy="914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55" w:name="i-56"/>
            <w:bookmarkEnd w:id="55"/>
          </w:p>
        </w:tc>
        <w:tc>
          <w:tcPr>
            <w:tcW w:w="8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6" w:type="dxa"/>
            <w:tcBorders/>
            <w:shd w:fill="F6F9F9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357" w:type="dxa"/>
            <w:tcBorders>
              <w:bottom w:val="single" w:sz="2" w:space="0" w:color="8C8D8F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21" w:type="dxa"/>
            <w:tcBorders>
              <w:bottom w:val="single" w:sz="2" w:space="0" w:color="8C8D8F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1" w:type="dxa"/>
            <w:tcBorders>
              <w:bottom w:val="single" w:sz="2" w:space="0" w:color="8C8D8F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76" w:type="dxa"/>
            <w:tcBorders>
              <w:bottom w:val="single" w:sz="2" w:space="0" w:color="8C8D8F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41" w:type="dxa"/>
            <w:tcBorders>
              <w:bottom w:val="single" w:sz="2" w:space="0" w:color="8C8D8F"/>
            </w:tcBorders>
            <w:shd w:fill="F6F9F9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76" w:type="dxa"/>
            <w:tcBorders>
              <w:bottom w:val="single" w:sz="2" w:space="0" w:color="8C8D8F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66" w:type="dxa"/>
            <w:tcBorders>
              <w:bottom w:val="single" w:sz="2" w:space="0" w:color="8C8D8F"/>
            </w:tcBorders>
            <w:shd w:fill="F6F9F9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1" w:type="dxa"/>
            <w:tcBorders>
              <w:bottom w:val="single" w:sz="2" w:space="0" w:color="8C8D8F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6" w:type="dxa"/>
            <w:tcBorders>
              <w:bottom w:val="single" w:sz="2" w:space="0" w:color="8C8D8F"/>
            </w:tcBorders>
            <w:shd w:fill="F6F9F9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357" w:type="dxa"/>
            <w:tcBorders>
              <w:top w:val="single" w:sz="2" w:space="0" w:color="8C8D8F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21" w:type="dxa"/>
            <w:tcBorders>
              <w:top w:val="single" w:sz="2" w:space="0" w:color="8C8D8F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1" w:type="dxa"/>
            <w:tcBorders>
              <w:top w:val="single" w:sz="2" w:space="0" w:color="8C8D8F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76" w:type="dxa"/>
            <w:tcBorders>
              <w:top w:val="single" w:sz="2" w:space="0" w:color="8C8D8F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41" w:type="dxa"/>
            <w:tcBorders>
              <w:top w:val="single" w:sz="2" w:space="0" w:color="8C8D8F"/>
            </w:tcBorders>
            <w:shd w:fill="F6F9F9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76" w:type="dxa"/>
            <w:tcBorders>
              <w:top w:val="single" w:sz="2" w:space="0" w:color="8C8D8F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66" w:type="dxa"/>
            <w:tcBorders>
              <w:top w:val="single" w:sz="2" w:space="0" w:color="8C8D8F"/>
            </w:tcBorders>
            <w:shd w:fill="F6F9F9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1" w:type="dxa"/>
            <w:tcBorders>
              <w:top w:val="single" w:sz="2" w:space="0" w:color="8C8D8F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6" w:type="dxa"/>
            <w:tcBorders>
              <w:top w:val="single" w:sz="2" w:space="0" w:color="8C8D8F"/>
            </w:tcBorders>
            <w:shd w:fill="F6F9F9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357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 xml:space="preserve">Susan Tolson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516255" cy="91440"/>
                  <wp:effectExtent l="0" t="0" r="0" b="0"/>
                  <wp:docPr id="57" name="Image57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7" name="Image57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6255" cy="914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56" w:name="i-57"/>
            <w:bookmarkEnd w:id="56"/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Retired Portfolio Manager, Capital Research and Management Company</w:t>
            </w:r>
          </w:p>
        </w:tc>
        <w:tc>
          <w:tcPr>
            <w:tcW w:w="42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64</w:t>
            </w:r>
          </w:p>
        </w:tc>
        <w:tc>
          <w:tcPr>
            <w:tcW w:w="90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March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2014</w:t>
            </w:r>
          </w:p>
        </w:tc>
        <w:tc>
          <w:tcPr>
            <w:tcW w:w="67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</w:t>
            </w:r>
          </w:p>
        </w:tc>
        <w:tc>
          <w:tcPr>
            <w:tcW w:w="541" w:type="dxa"/>
            <w:tcBorders/>
            <w:shd w:fill="F6F9F9" w:val="clear"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35255" cy="128270"/>
                  <wp:effectExtent l="0" t="0" r="0" b="0"/>
                  <wp:docPr id="58" name="Image58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8" name="Image58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255" cy="1282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57" w:name="i-58"/>
            <w:bookmarkEnd w:id="57"/>
          </w:p>
        </w:tc>
        <w:tc>
          <w:tcPr>
            <w:tcW w:w="12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66" w:type="dxa"/>
            <w:tcBorders/>
            <w:shd w:fill="F6F9F9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6" w:type="dxa"/>
            <w:tcBorders/>
            <w:shd w:fill="F6F9F9" w:val="clear"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91440" cy="91440"/>
                  <wp:effectExtent l="0" t="0" r="0" b="0"/>
                  <wp:docPr id="59" name="Image59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9" name="Image59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440" cy="914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58" w:name="i-59"/>
            <w:bookmarkEnd w:id="58"/>
          </w:p>
        </w:tc>
      </w:tr>
      <w:tr>
        <w:trPr/>
        <w:tc>
          <w:tcPr>
            <w:tcW w:w="3357" w:type="dxa"/>
            <w:tcBorders>
              <w:bottom w:val="single" w:sz="2" w:space="0" w:color="8C8D8F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21" w:type="dxa"/>
            <w:tcBorders>
              <w:bottom w:val="single" w:sz="2" w:space="0" w:color="8C8D8F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1" w:type="dxa"/>
            <w:tcBorders>
              <w:bottom w:val="single" w:sz="2" w:space="0" w:color="8C8D8F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76" w:type="dxa"/>
            <w:tcBorders>
              <w:bottom w:val="single" w:sz="2" w:space="0" w:color="8C8D8F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41" w:type="dxa"/>
            <w:tcBorders>
              <w:bottom w:val="single" w:sz="2" w:space="0" w:color="8C8D8F"/>
            </w:tcBorders>
            <w:shd w:fill="F6F9F9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76" w:type="dxa"/>
            <w:tcBorders>
              <w:bottom w:val="single" w:sz="2" w:space="0" w:color="8C8D8F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66" w:type="dxa"/>
            <w:tcBorders>
              <w:bottom w:val="single" w:sz="2" w:space="0" w:color="8C8D8F"/>
            </w:tcBorders>
            <w:shd w:fill="F6F9F9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1" w:type="dxa"/>
            <w:tcBorders>
              <w:bottom w:val="single" w:sz="2" w:space="0" w:color="8C8D8F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6" w:type="dxa"/>
            <w:tcBorders>
              <w:bottom w:val="single" w:sz="2" w:space="0" w:color="8C8D8F"/>
            </w:tcBorders>
            <w:shd w:fill="F6F9F9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357" w:type="dxa"/>
            <w:tcBorders>
              <w:top w:val="single" w:sz="2" w:space="0" w:color="8C8D8F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21" w:type="dxa"/>
            <w:tcBorders>
              <w:top w:val="single" w:sz="2" w:space="0" w:color="8C8D8F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1" w:type="dxa"/>
            <w:tcBorders>
              <w:top w:val="single" w:sz="2" w:space="0" w:color="8C8D8F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76" w:type="dxa"/>
            <w:tcBorders>
              <w:top w:val="single" w:sz="2" w:space="0" w:color="8C8D8F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41" w:type="dxa"/>
            <w:tcBorders>
              <w:top w:val="single" w:sz="2" w:space="0" w:color="8C8D8F"/>
            </w:tcBorders>
            <w:shd w:fill="F6F9F9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76" w:type="dxa"/>
            <w:tcBorders>
              <w:top w:val="single" w:sz="2" w:space="0" w:color="8C8D8F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66" w:type="dxa"/>
            <w:tcBorders>
              <w:top w:val="single" w:sz="2" w:space="0" w:color="8C8D8F"/>
            </w:tcBorders>
            <w:shd w:fill="F6F9F9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1" w:type="dxa"/>
            <w:tcBorders>
              <w:top w:val="single" w:sz="2" w:space="0" w:color="8C8D8F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6" w:type="dxa"/>
            <w:tcBorders>
              <w:top w:val="single" w:sz="2" w:space="0" w:color="8C8D8F"/>
            </w:tcBorders>
            <w:shd w:fill="F6F9F9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357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 xml:space="preserve">Paul Viera 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516255" cy="91440"/>
                  <wp:effectExtent l="0" t="0" r="0" b="0"/>
                  <wp:docPr id="60" name="Image60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0" name="Image60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6255" cy="914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59" w:name="i-60"/>
            <w:bookmarkEnd w:id="59"/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CEO, Earnest Partners LLC</w:t>
            </w:r>
          </w:p>
        </w:tc>
        <w:tc>
          <w:tcPr>
            <w:tcW w:w="42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67</w:t>
            </w:r>
          </w:p>
        </w:tc>
        <w:tc>
          <w:tcPr>
            <w:tcW w:w="90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May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2018</w:t>
            </w:r>
          </w:p>
        </w:tc>
        <w:tc>
          <w:tcPr>
            <w:tcW w:w="67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0</w:t>
            </w:r>
          </w:p>
        </w:tc>
        <w:tc>
          <w:tcPr>
            <w:tcW w:w="541" w:type="dxa"/>
            <w:tcBorders/>
            <w:shd w:fill="F6F9F9" w:val="clear"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91440" cy="91440"/>
                  <wp:effectExtent l="0" t="0" r="0" b="0"/>
                  <wp:docPr id="61" name="Image6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1" name="Image6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440" cy="914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60" w:name="i-61"/>
            <w:bookmarkEnd w:id="60"/>
          </w:p>
        </w:tc>
        <w:tc>
          <w:tcPr>
            <w:tcW w:w="12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66" w:type="dxa"/>
            <w:tcBorders/>
            <w:shd w:fill="F6F9F9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6" w:type="dxa"/>
            <w:tcBorders/>
            <w:shd w:fill="F6F9F9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357" w:type="dxa"/>
            <w:tcBorders>
              <w:bottom w:val="single" w:sz="2" w:space="0" w:color="8C8D8F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21" w:type="dxa"/>
            <w:tcBorders>
              <w:bottom w:val="single" w:sz="2" w:space="0" w:color="8C8D8F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1" w:type="dxa"/>
            <w:tcBorders>
              <w:bottom w:val="single" w:sz="2" w:space="0" w:color="8C8D8F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76" w:type="dxa"/>
            <w:tcBorders>
              <w:bottom w:val="single" w:sz="2" w:space="0" w:color="8C8D8F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41" w:type="dxa"/>
            <w:tcBorders>
              <w:bottom w:val="single" w:sz="2" w:space="0" w:color="8C8D8F"/>
            </w:tcBorders>
            <w:shd w:fill="F6F9F9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76" w:type="dxa"/>
            <w:tcBorders>
              <w:bottom w:val="single" w:sz="2" w:space="0" w:color="8C8D8F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66" w:type="dxa"/>
            <w:tcBorders>
              <w:bottom w:val="single" w:sz="2" w:space="0" w:color="8C8D8F"/>
            </w:tcBorders>
            <w:shd w:fill="F6F9F9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1" w:type="dxa"/>
            <w:tcBorders>
              <w:bottom w:val="single" w:sz="2" w:space="0" w:color="8C8D8F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6" w:type="dxa"/>
            <w:tcBorders>
              <w:bottom w:val="single" w:sz="2" w:space="0" w:color="8C8D8F"/>
            </w:tcBorders>
            <w:shd w:fill="F6F9F9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357" w:type="dxa"/>
            <w:tcBorders>
              <w:top w:val="single" w:sz="2" w:space="0" w:color="8C8D8F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21" w:type="dxa"/>
            <w:tcBorders>
              <w:top w:val="single" w:sz="2" w:space="0" w:color="8C8D8F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1" w:type="dxa"/>
            <w:tcBorders>
              <w:top w:val="single" w:sz="2" w:space="0" w:color="8C8D8F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76" w:type="dxa"/>
            <w:tcBorders>
              <w:top w:val="single" w:sz="2" w:space="0" w:color="8C8D8F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41" w:type="dxa"/>
            <w:tcBorders>
              <w:top w:val="single" w:sz="2" w:space="0" w:color="8C8D8F"/>
            </w:tcBorders>
            <w:shd w:fill="F6F9F9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76" w:type="dxa"/>
            <w:tcBorders>
              <w:top w:val="single" w:sz="2" w:space="0" w:color="8C8D8F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66" w:type="dxa"/>
            <w:tcBorders>
              <w:top w:val="single" w:sz="2" w:space="0" w:color="8C8D8F"/>
            </w:tcBorders>
            <w:shd w:fill="F6F9F9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1" w:type="dxa"/>
            <w:tcBorders>
              <w:top w:val="single" w:sz="2" w:space="0" w:color="8C8D8F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6" w:type="dxa"/>
            <w:tcBorders>
              <w:top w:val="single" w:sz="2" w:space="0" w:color="8C8D8F"/>
            </w:tcBorders>
            <w:shd w:fill="F6F9F9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357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Strauss Zelnick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Chairman and CEO, Take-Two Interactive Software, Inc.</w:t>
            </w:r>
          </w:p>
        </w:tc>
        <w:tc>
          <w:tcPr>
            <w:tcW w:w="42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69</w:t>
            </w:r>
          </w:p>
        </w:tc>
        <w:tc>
          <w:tcPr>
            <w:tcW w:w="90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March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2007</w:t>
            </w:r>
          </w:p>
        </w:tc>
        <w:tc>
          <w:tcPr>
            <w:tcW w:w="67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</w:t>
            </w:r>
          </w:p>
        </w:tc>
        <w:tc>
          <w:tcPr>
            <w:tcW w:w="541" w:type="dxa"/>
            <w:tcBorders/>
            <w:shd w:fill="F6F9F9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66" w:type="dxa"/>
            <w:tcBorders/>
            <w:shd w:fill="F6F9F9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91440" cy="91440"/>
                  <wp:effectExtent l="0" t="0" r="0" b="0"/>
                  <wp:docPr id="62" name="Image6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2" name="Image6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440" cy="914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61" w:name="i-62"/>
            <w:bookmarkEnd w:id="61"/>
          </w:p>
        </w:tc>
        <w:tc>
          <w:tcPr>
            <w:tcW w:w="1096" w:type="dxa"/>
            <w:tcBorders/>
            <w:shd w:fill="F6F9F9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357" w:type="dxa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21" w:type="dxa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1" w:type="dxa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76" w:type="dxa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41" w:type="dxa"/>
            <w:tcBorders>
              <w:bottom w:val="single" w:sz="4" w:space="0" w:color="18333C"/>
            </w:tcBorders>
            <w:shd w:fill="F6F9F9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76" w:type="dxa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66" w:type="dxa"/>
            <w:tcBorders>
              <w:bottom w:val="single" w:sz="4" w:space="0" w:color="18333C"/>
            </w:tcBorders>
            <w:shd w:fill="F6F9F9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1" w:type="dxa"/>
            <w:tcBorders>
              <w:bottom w:val="single" w:sz="4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6" w:type="dxa"/>
            <w:tcBorders>
              <w:bottom w:val="single" w:sz="4" w:space="0" w:color="000000"/>
            </w:tcBorders>
            <w:shd w:fill="F6F9F9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854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45"/>
        <w:gridCol w:w="706"/>
        <w:gridCol w:w="302"/>
        <w:gridCol w:w="601"/>
      </w:tblGrid>
      <w:tr>
        <w:trPr/>
        <w:tc>
          <w:tcPr>
            <w:tcW w:w="2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5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91440" cy="91440"/>
                  <wp:effectExtent l="0" t="0" r="0" b="0"/>
                  <wp:docPr id="63" name="Image63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3" name="Image63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440" cy="914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62" w:name="i-63"/>
            <w:bookmarkEnd w:id="62"/>
          </w:p>
        </w:tc>
        <w:tc>
          <w:tcPr>
            <w:tcW w:w="70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Member</w:t>
            </w:r>
          </w:p>
        </w:tc>
        <w:tc>
          <w:tcPr>
            <w:tcW w:w="302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37160" cy="127000"/>
                  <wp:effectExtent l="0" t="0" r="0" b="0"/>
                  <wp:docPr id="64" name="Image64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4" name="Image64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160" cy="127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63" w:name="i-64"/>
            <w:bookmarkEnd w:id="63"/>
          </w:p>
        </w:tc>
        <w:tc>
          <w:tcPr>
            <w:tcW w:w="60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Chair</w:t>
            </w:r>
          </w:p>
        </w:tc>
      </w:tr>
    </w:tbl>
    <w:tbl>
      <w:tblPr>
        <w:tblW w:w="4892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4651"/>
        <w:gridCol w:w="241"/>
      </w:tblGrid>
      <w:tr>
        <w:trPr/>
        <w:tc>
          <w:tcPr>
            <w:tcW w:w="46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651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sz w:val="24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TAKE-TWO INTERACTIVE SOFTWARE, INC.   |   2026</w:t>
            </w:r>
            <w:r>
              <w:rPr>
                <w:caps w:val="false"/>
                <w:smallCaps w:val="false"/>
                <w:strike w:val="false"/>
                <w:dstrike w:val="false"/>
                <w:color w:val="18333C"/>
                <w:sz w:val="24"/>
                <w:u w:val="none"/>
                <w:effect w:val="none"/>
              </w:rPr>
              <w:t xml:space="preserve"> 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 xml:space="preserve">Proxy Statement </w:t>
            </w:r>
          </w:p>
        </w:tc>
        <w:tc>
          <w:tcPr>
            <w:tcW w:w="24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7</w:t>
            </w:r>
          </w:p>
        </w:tc>
      </w:tr>
    </w:tbl>
    <w:p>
      <w:pPr>
        <w:pStyle w:val="TextBody"/>
        <w:bidi w:val="0"/>
        <w:spacing w:lineRule="atLeast" w:line="142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3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3"/>
          <w:u w:val="none"/>
          <w:effect w:val="none"/>
        </w:rPr>
        <w:t>PROXY SUMMARY</w:t>
      </w:r>
    </w:p>
    <w:p>
      <w:pPr>
        <w:pStyle w:val="TextBody"/>
        <w:bidi w:val="0"/>
        <w:spacing w:lineRule="atLeast" w:line="142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2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2"/>
          <w:u w:val="none"/>
          <w:effect w:val="none"/>
        </w:rPr>
        <w:t>SHAREHOLDER ENGAGEMENT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8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28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28"/>
          <w:u w:val="none"/>
          <w:effect w:val="none"/>
        </w:rPr>
        <w:t>Shareholder Engagement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 xml:space="preserve">We were pleased that our Say-on-Pay vote received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95%</w:t>
      </w:r>
      <w:r>
        <w:rPr>
          <w:caps w:val="false"/>
          <w:smallCaps w:val="false"/>
          <w:sz w:val="24"/>
          <w:u w:val="singl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 xml:space="preserve">support at our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2025</w:t>
      </w:r>
      <w:r>
        <w:rPr>
          <w:caps w:val="false"/>
          <w:smallCaps w:val="false"/>
          <w:sz w:val="24"/>
          <w:u w:val="singl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annual meeting of shareholders following our</w:t>
      </w:r>
      <w:r>
        <w:rPr>
          <w:caps w:val="false"/>
          <w:smallCaps w:val="false"/>
          <w:sz w:val="24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shareholder outreach efforts and actions to implement investor feedback. The Board of Directors continues to place a premium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on our robust, year-round shareholder engagement practice, which facilitates an ongoing, two-way dialogue on topics our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shareholders find most important. Our Board members are regular participants alongside management in these critically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important conversations where we discuss a diverse range of topics, including board, governance, sustainability, and executive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compensation practices.</w:t>
      </w:r>
    </w:p>
    <w:tbl>
      <w:tblPr>
        <w:tblW w:w="10169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3384"/>
        <w:gridCol w:w="3367"/>
        <w:gridCol w:w="3418"/>
      </w:tblGrid>
      <w:tr>
        <w:trPr/>
        <w:tc>
          <w:tcPr>
            <w:tcW w:w="338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6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1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0169" w:type="dxa"/>
            <w:gridSpan w:val="3"/>
            <w:tcBorders>
              <w:top w:val="single" w:sz="16" w:space="0" w:color="18333C"/>
            </w:tcBorders>
            <w:shd w:fill="EBEDE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sz w:val="24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5333B"/>
                <w:sz w:val="18"/>
                <w:u w:val="none"/>
                <w:effect w:val="none"/>
              </w:rPr>
              <w:t>Shareholder Engagement Following the 2025</w:t>
            </w:r>
            <w:r>
              <w:rPr>
                <w:caps w:val="false"/>
                <w:smallCaps w:val="false"/>
                <w:strike w:val="false"/>
                <w:dstrike w:val="false"/>
                <w:color w:val="15333B"/>
                <w:sz w:val="24"/>
                <w:u w:val="none"/>
                <w:effect w:val="none"/>
              </w:rPr>
              <w:t xml:space="preserve"> 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5333B"/>
                <w:sz w:val="18"/>
                <w:u w:val="none"/>
                <w:effect w:val="none"/>
              </w:rPr>
              <w:t>Annual Meeting</w:t>
            </w:r>
          </w:p>
        </w:tc>
      </w:tr>
      <w:tr>
        <w:trPr/>
        <w:tc>
          <w:tcPr>
            <w:tcW w:w="3384" w:type="dxa"/>
            <w:tcBorders>
              <w:right w:val="single" w:sz="4" w:space="0" w:color="000000"/>
            </w:tcBorders>
            <w:shd w:fill="EBEDEF" w:val="clear"/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Shareholders Contacted</w:t>
            </w:r>
          </w:p>
        </w:tc>
        <w:tc>
          <w:tcPr>
            <w:tcW w:w="3367" w:type="dxa"/>
            <w:tcBorders>
              <w:left w:val="single" w:sz="4" w:space="0" w:color="000000"/>
              <w:right w:val="single" w:sz="4" w:space="0" w:color="000000"/>
            </w:tcBorders>
            <w:shd w:fill="EBEDEF" w:val="clear"/>
            <w:tcMar>
              <w:top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Engaged with</w:t>
            </w:r>
          </w:p>
        </w:tc>
        <w:tc>
          <w:tcPr>
            <w:tcW w:w="3418" w:type="dxa"/>
            <w:tcBorders>
              <w:left w:val="single" w:sz="4" w:space="0" w:color="000000"/>
            </w:tcBorders>
            <w:shd w:fill="EBEDEF" w:val="clear"/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Director-Led Discussions</w:t>
            </w:r>
          </w:p>
        </w:tc>
      </w:tr>
      <w:tr>
        <w:trPr/>
        <w:tc>
          <w:tcPr>
            <w:tcW w:w="3384" w:type="dxa"/>
            <w:tcBorders>
              <w:right w:val="single" w:sz="4" w:space="0" w:color="000000"/>
            </w:tcBorders>
            <w:shd w:fill="EBEDEF" w:val="clear"/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lineRule="atLeast" w:line="4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64BFA6"/>
                <w:sz w:val="4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64BFA6"/>
                <w:sz w:val="40"/>
                <w:u w:val="none"/>
                <w:effect w:val="none"/>
              </w:rPr>
              <w:t>~56.4%</w:t>
            </w:r>
          </w:p>
        </w:tc>
        <w:tc>
          <w:tcPr>
            <w:tcW w:w="3367" w:type="dxa"/>
            <w:tcBorders>
              <w:left w:val="single" w:sz="4" w:space="0" w:color="000000"/>
              <w:right w:val="single" w:sz="4" w:space="0" w:color="000000"/>
            </w:tcBorders>
            <w:shd w:fill="EBEDEF" w:val="clear"/>
            <w:tcMar>
              <w:top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lineRule="atLeast" w:line="4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64BFA6"/>
                <w:sz w:val="4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64BFA6"/>
                <w:sz w:val="40"/>
                <w:u w:val="none"/>
                <w:effect w:val="none"/>
              </w:rPr>
              <w:t>~31.8%</w:t>
            </w:r>
          </w:p>
        </w:tc>
        <w:tc>
          <w:tcPr>
            <w:tcW w:w="3418" w:type="dxa"/>
            <w:tcBorders>
              <w:left w:val="single" w:sz="4" w:space="0" w:color="000000"/>
            </w:tcBorders>
            <w:shd w:fill="EBEDEF" w:val="clear"/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4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64BFA6"/>
                <w:sz w:val="4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64BFA6"/>
                <w:sz w:val="40"/>
                <w:u w:val="none"/>
                <w:effect w:val="none"/>
              </w:rPr>
              <w:t>~28.3%</w:t>
            </w:r>
          </w:p>
        </w:tc>
      </w:tr>
      <w:tr>
        <w:trPr/>
        <w:tc>
          <w:tcPr>
            <w:tcW w:w="3384" w:type="dxa"/>
            <w:tcBorders>
              <w:right w:val="single" w:sz="4" w:space="0" w:color="000000"/>
            </w:tcBorders>
            <w:shd w:fill="EBEDEF" w:val="clear"/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of our outstanding common stock</w:t>
            </w:r>
          </w:p>
        </w:tc>
        <w:tc>
          <w:tcPr>
            <w:tcW w:w="3367" w:type="dxa"/>
            <w:tcBorders>
              <w:left w:val="single" w:sz="4" w:space="0" w:color="000000"/>
              <w:right w:val="single" w:sz="4" w:space="0" w:color="000000"/>
            </w:tcBorders>
            <w:shd w:fill="EBEDEF" w:val="clear"/>
            <w:tcMar>
              <w:top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of our outstanding common stock</w:t>
            </w:r>
          </w:p>
        </w:tc>
        <w:tc>
          <w:tcPr>
            <w:tcW w:w="3418" w:type="dxa"/>
            <w:tcBorders>
              <w:left w:val="single" w:sz="4" w:space="0" w:color="000000"/>
            </w:tcBorders>
            <w:shd w:fill="EBEDEF" w:val="clear"/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of our outstanding common stock</w:t>
            </w:r>
          </w:p>
        </w:tc>
      </w:tr>
      <w:tr>
        <w:trPr/>
        <w:tc>
          <w:tcPr>
            <w:tcW w:w="3384" w:type="dxa"/>
            <w:tcBorders/>
            <w:shd w:fill="EBEDE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67" w:type="dxa"/>
            <w:tcBorders/>
            <w:shd w:fill="EBEDE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18" w:type="dxa"/>
            <w:tcBorders/>
            <w:shd w:fill="EBEDE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0169" w:type="dxa"/>
            <w:gridSpan w:val="3"/>
            <w:tcBorders/>
            <w:shd w:fill="EBEDE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/>
                <w:strike w:val="false"/>
                <w:dstrike w:val="fals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/>
                <w:strike w:val="false"/>
                <w:dstrike w:val="false"/>
                <w:sz w:val="18"/>
                <w:u w:val="none"/>
                <w:effect w:val="none"/>
              </w:rPr>
              <w:t xml:space="preserve">All percentages represent ownership of Take-Two outstanding common stock as reported by our shareholders’ most recent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/>
                <w:strike w:val="false"/>
                <w:dstrike w:val="fals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/>
                <w:strike w:val="false"/>
                <w:dstrike w:val="false"/>
                <w:sz w:val="18"/>
                <w:u w:val="none"/>
                <w:effect w:val="none"/>
              </w:rPr>
              <w:t>filings as of the date of this Proxy Statement.</w:t>
            </w:r>
          </w:p>
        </w:tc>
      </w:tr>
      <w:tr>
        <w:trPr/>
        <w:tc>
          <w:tcPr>
            <w:tcW w:w="3384" w:type="dxa"/>
            <w:tcBorders/>
            <w:shd w:fill="EBEDE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67" w:type="dxa"/>
            <w:tcBorders/>
            <w:shd w:fill="EBEDE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18" w:type="dxa"/>
            <w:tcBorders/>
            <w:shd w:fill="EBEDE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For more information regarding the Company’s shareholder engagement, see “Compensation Discussion and Analysis-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Shareholder Outreach.”</w:t>
      </w:r>
    </w:p>
    <w:p>
      <w:pPr>
        <w:pStyle w:val="TextBody"/>
        <w:bidi w:val="0"/>
        <w:spacing w:lineRule="atLeast" w:line="28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28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28"/>
          <w:u w:val="none"/>
          <w:effect w:val="none"/>
        </w:rPr>
        <w:t>Sustainability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The Company continued to focus on sustainability this year. We published our fourth Impact Report in September 2025 which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included select disclosure against the Sustainability Accounting Standards Board (SASB) Standards. Our fifth Impact Report is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scheduled to be published in September 2026. We also publish a standalone report on the Task Force on Climate-Related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Financial Disclosure recommendations, which, along with a copy of our Impact Report, is posted on the Company’s website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at </w:t>
      </w:r>
      <w:r>
        <w:rPr>
          <w:rFonts w:ascii="Arial;sans-serif" w:hAnsi="Arial;sans-serif"/>
          <w:b w:val="false"/>
          <w:i/>
          <w:sz w:val="18"/>
          <w:u w:val="single"/>
        </w:rPr>
        <w:t>www.take2games.com</w:t>
      </w:r>
      <w:r>
        <w:rPr>
          <w:caps w:val="false"/>
          <w:smallCaps w:val="false"/>
          <w:u w:val="single"/>
        </w:rPr>
        <w:t> 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and can be accessed by clicking on “Investors.” The information on our website referenced herein is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not incorporated by reference in this Proxy Statement.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The Board of Directors provides oversight to this area through the Corporate Governance Committee, which oversees and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reviews our sustainability strategy and guides long-term climate strategy. We are continuing to develop our sustainability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strategy and commitments to help drive positive change across our industry and society. See “Proposal 1: Election of Directors</w:t>
      </w:r>
    </w:p>
    <w:p>
      <w:pPr>
        <w:pStyle w:val="TextBody"/>
        <w:bidi w:val="0"/>
        <w:spacing w:lineRule="atLeast" w:line="180" w:before="0" w:after="0"/>
        <w:jc w:val="both"/>
        <w:rPr>
          <w:caps w:val="false"/>
          <w:smallCaps w:val="false"/>
          <w:strike w:val="false"/>
          <w:dstrike w:val="false"/>
          <w:u w:val="none"/>
          <w:effect w:val="none"/>
        </w:rPr>
      </w:pPr>
      <w:r>
        <w:rPr>
          <w:caps w:val="false"/>
          <w:smallCaps w:val="false"/>
          <w:strike w:val="false"/>
          <w:dstrike w:val="false"/>
          <w:u w:val="none"/>
          <w:effect w:val="none"/>
        </w:rPr>
        <w:t>—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Corporate Governance and Board Practices—Sustainability Matters” for additional details.</w:t>
      </w:r>
    </w:p>
    <w:p>
      <w:pPr>
        <w:pStyle w:val="TextBody"/>
        <w:bidi w:val="0"/>
        <w:spacing w:lineRule="atLeast" w:line="28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28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28"/>
          <w:u w:val="none"/>
          <w:effect w:val="none"/>
        </w:rPr>
        <w:t>Corporate Governance Highlights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The Company’s sound governance practices and policies demonstrate the Board’s commitment to strong corporate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governance, effective risk management and robust independent oversight of management by the Board. The Company’s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governance highlights include:</w:t>
      </w:r>
    </w:p>
    <w:p>
      <w:pPr>
        <w:pStyle w:val="TextBody"/>
        <w:bidi w:val="0"/>
        <w:spacing w:before="0" w:after="0"/>
        <w:jc w:val="left"/>
        <w:rPr>
          <w:shd w:fill="auto" w:val="clear"/>
        </w:rPr>
      </w:pPr>
      <w:r>
        <w:rPr>
          <w:shd w:fill="auto" w:val="clear"/>
        </w:rPr>
        <w:drawing>
          <wp:inline distT="0" distB="0" distL="0" distR="0">
            <wp:extent cx="6602095" cy="2426970"/>
            <wp:effectExtent l="0" t="0" r="0" b="0"/>
            <wp:docPr id="65" name="Image6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" name="Image65" descr=""/>
                    <pic:cNvPicPr>
                      <a:picLocks noChangeAspect="1" noChangeArrowheads="1"/>
                    </pic:cNvPicPr>
                  </pic:nvPicPr>
                  <pic:blipFill>
                    <a:blip r:embed="rId6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02095" cy="24269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64" w:name="i-65"/>
      <w:bookmarkEnd w:id="64"/>
    </w:p>
    <w:tbl>
      <w:tblPr>
        <w:tblW w:w="4928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4"/>
        <w:gridCol w:w="273"/>
        <w:gridCol w:w="4531"/>
      </w:tblGrid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3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18745" cy="121920"/>
                  <wp:effectExtent l="0" t="0" r="0" b="0"/>
                  <wp:docPr id="66" name="Image66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6" name="Image66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745" cy="1219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65" w:name="i-66"/>
            <w:bookmarkEnd w:id="65"/>
          </w:p>
        </w:tc>
        <w:tc>
          <w:tcPr>
            <w:tcW w:w="453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both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Extensive, year-round shareholder engagement</w:t>
            </w:r>
          </w:p>
        </w:tc>
      </w:tr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3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18745" cy="121920"/>
                  <wp:effectExtent l="0" t="0" r="0" b="0"/>
                  <wp:docPr id="67" name="Image67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7" name="Image67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745" cy="1219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66" w:name="i-67"/>
            <w:bookmarkEnd w:id="66"/>
          </w:p>
        </w:tc>
        <w:tc>
          <w:tcPr>
            <w:tcW w:w="453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both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Annual evaluation of the Board and its Committees</w:t>
            </w:r>
          </w:p>
        </w:tc>
      </w:tr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3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18745" cy="121920"/>
                  <wp:effectExtent l="0" t="0" r="0" b="0"/>
                  <wp:docPr id="68" name="Image68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8" name="Image68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745" cy="1219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67" w:name="i-68"/>
            <w:bookmarkEnd w:id="67"/>
          </w:p>
        </w:tc>
        <w:tc>
          <w:tcPr>
            <w:tcW w:w="453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both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Annual review of Board leadership structure</w:t>
            </w:r>
          </w:p>
        </w:tc>
      </w:tr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3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18745" cy="121920"/>
                  <wp:effectExtent l="0" t="0" r="0" b="0"/>
                  <wp:docPr id="69" name="Image69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9" name="Image69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745" cy="1219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68" w:name="i-69"/>
            <w:bookmarkEnd w:id="68"/>
          </w:p>
        </w:tc>
        <w:tc>
          <w:tcPr>
            <w:tcW w:w="453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Ongoing review and refreshment of Board leadership</w:t>
            </w: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80" w:before="0" w:after="0"/>
              <w:jc w:val="both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and composition</w:t>
            </w:r>
          </w:p>
        </w:tc>
      </w:tr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3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18745" cy="121920"/>
                  <wp:effectExtent l="0" t="0" r="0" b="0"/>
                  <wp:docPr id="70" name="Image70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0" name="Image70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745" cy="1219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69" w:name="i-70"/>
            <w:bookmarkEnd w:id="69"/>
          </w:p>
        </w:tc>
        <w:tc>
          <w:tcPr>
            <w:tcW w:w="453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Active process of evaluating and rotating committee</w:t>
            </w: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80" w:before="0" w:after="0"/>
              <w:jc w:val="both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leadership positions</w:t>
            </w:r>
          </w:p>
        </w:tc>
      </w:tr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3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18745" cy="121920"/>
                  <wp:effectExtent l="0" t="0" r="0" b="0"/>
                  <wp:docPr id="71" name="Image7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" name="Image7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745" cy="1219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70" w:name="i-71"/>
            <w:bookmarkEnd w:id="70"/>
          </w:p>
        </w:tc>
        <w:tc>
          <w:tcPr>
            <w:tcW w:w="453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Lead Independent Director with clearly defined role</w:t>
            </w: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80" w:before="0" w:after="0"/>
              <w:jc w:val="both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and responsibilities</w:t>
            </w:r>
          </w:p>
        </w:tc>
      </w:tr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3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18745" cy="121920"/>
                  <wp:effectExtent l="0" t="0" r="0" b="0"/>
                  <wp:docPr id="72" name="Image7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2" name="Image7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745" cy="1219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71" w:name="i-72"/>
            <w:bookmarkEnd w:id="71"/>
          </w:p>
        </w:tc>
        <w:tc>
          <w:tcPr>
            <w:tcW w:w="453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Board oversight of risk management and</w:t>
            </w: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80" w:before="0" w:after="0"/>
              <w:jc w:val="both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sustainability matters</w:t>
            </w:r>
          </w:p>
        </w:tc>
      </w:tr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4643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88"/>
        <w:gridCol w:w="4201"/>
        <w:gridCol w:w="154"/>
      </w:tblGrid>
      <w:tr>
        <w:trPr/>
        <w:tc>
          <w:tcPr>
            <w:tcW w:w="2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20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20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88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18745" cy="121920"/>
                  <wp:effectExtent l="0" t="0" r="0" b="0"/>
                  <wp:docPr id="73" name="Image73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3" name="Image73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745" cy="1219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72" w:name="i-73"/>
            <w:bookmarkEnd w:id="72"/>
          </w:p>
        </w:tc>
        <w:tc>
          <w:tcPr>
            <w:tcW w:w="420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both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Shareholder right to call special meetings</w:t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20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88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18745" cy="121920"/>
                  <wp:effectExtent l="0" t="0" r="0" b="0"/>
                  <wp:docPr id="74" name="Image74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4" name="Image74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745" cy="1219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73" w:name="i-74"/>
            <w:bookmarkEnd w:id="73"/>
          </w:p>
        </w:tc>
        <w:tc>
          <w:tcPr>
            <w:tcW w:w="420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both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Shareholder right to act by written consent</w:t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20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88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18745" cy="121920"/>
                  <wp:effectExtent l="0" t="0" r="0" b="0"/>
                  <wp:docPr id="75" name="Image75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5" name="Image75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745" cy="1219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74" w:name="i-75"/>
            <w:bookmarkEnd w:id="74"/>
          </w:p>
        </w:tc>
        <w:tc>
          <w:tcPr>
            <w:tcW w:w="420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both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No supermajority voting requirements</w:t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20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88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18745" cy="121920"/>
                  <wp:effectExtent l="0" t="0" r="0" b="0"/>
                  <wp:docPr id="76" name="Image76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6" name="Image76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745" cy="1219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75" w:name="i-76"/>
            <w:bookmarkEnd w:id="75"/>
          </w:p>
        </w:tc>
        <w:tc>
          <w:tcPr>
            <w:tcW w:w="420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Strong anti-hedging, anti-pledging and insider</w:t>
            </w: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80" w:before="0" w:after="0"/>
              <w:jc w:val="both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trading policies</w:t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20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88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18745" cy="121920"/>
                  <wp:effectExtent l="0" t="0" r="0" b="0"/>
                  <wp:docPr id="77" name="Image77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7" name="Image77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745" cy="1219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76" w:name="i-77"/>
            <w:bookmarkEnd w:id="76"/>
          </w:p>
        </w:tc>
        <w:tc>
          <w:tcPr>
            <w:tcW w:w="420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Independent Audit Committee, Compensation</w:t>
            </w: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80" w:before="0" w:after="0"/>
              <w:jc w:val="both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Committee and Corporate Governance Committee</w:t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20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88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18745" cy="121920"/>
                  <wp:effectExtent l="0" t="0" r="0" b="0"/>
                  <wp:docPr id="78" name="Image78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8" name="Image78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745" cy="1219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77" w:name="i-78"/>
            <w:bookmarkEnd w:id="77"/>
          </w:p>
        </w:tc>
        <w:tc>
          <w:tcPr>
            <w:tcW w:w="420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both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Annual Succession Planning oversight</w:t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20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88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18745" cy="121920"/>
                  <wp:effectExtent l="0" t="0" r="0" b="0"/>
                  <wp:docPr id="79" name="Image79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9" name="Image79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745" cy="1219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78" w:name="i-79"/>
            <w:bookmarkEnd w:id="78"/>
          </w:p>
        </w:tc>
        <w:tc>
          <w:tcPr>
            <w:tcW w:w="420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both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Annual review of Director Time Commitments</w:t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484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11"/>
        <w:gridCol w:w="4636"/>
      </w:tblGrid>
      <w:tr>
        <w:trPr/>
        <w:tc>
          <w:tcPr>
            <w:tcW w:w="21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8</w:t>
            </w:r>
          </w:p>
        </w:tc>
        <w:tc>
          <w:tcPr>
            <w:tcW w:w="4636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sz w:val="24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TAKE-TWO INTERACTIVE SOFTWARE, INC.   |   2026</w:t>
            </w:r>
            <w:r>
              <w:rPr>
                <w:caps w:val="false"/>
                <w:smallCaps w:val="false"/>
                <w:strike w:val="false"/>
                <w:dstrike w:val="false"/>
                <w:color w:val="18333C"/>
                <w:sz w:val="24"/>
                <w:u w:val="none"/>
                <w:effect w:val="none"/>
              </w:rPr>
              <w:t xml:space="preserve"> 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Proxy Statement</w:t>
            </w:r>
          </w:p>
        </w:tc>
      </w:tr>
    </w:tbl>
    <w:p>
      <w:pPr>
        <w:pStyle w:val="TextBody"/>
        <w:bidi w:val="0"/>
        <w:spacing w:lineRule="atLeast" w:line="142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3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3"/>
          <w:u w:val="none"/>
          <w:effect w:val="none"/>
        </w:rPr>
        <w:t>PROXY SUMMARY</w:t>
      </w:r>
    </w:p>
    <w:p>
      <w:pPr>
        <w:pStyle w:val="TextBody"/>
        <w:bidi w:val="0"/>
        <w:spacing w:lineRule="atLeast" w:line="142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2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2"/>
          <w:u w:val="none"/>
          <w:effect w:val="none"/>
        </w:rPr>
        <w:t>EXECUTIVE COMPENSATION PROGRAM HIGHLIGHTS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8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28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28"/>
          <w:u w:val="none"/>
          <w:effect w:val="none"/>
        </w:rPr>
        <w:t>Executive Compensation Program Highlights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The Company maintains strong compensation governance practices that support our pay-for-performance principles and align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management incentives with the interests of our shareholders. A substantial portion of our Company’s executive compensation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opportunity in fiscal 2026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was performance-based.</w:t>
      </w:r>
    </w:p>
    <w:p>
      <w:pPr>
        <w:pStyle w:val="TextBody"/>
        <w:bidi w:val="0"/>
        <w:spacing w:before="0" w:after="0"/>
        <w:jc w:val="both"/>
        <w:rPr>
          <w:u w:val="single"/>
        </w:rPr>
      </w:pPr>
      <w:r>
        <w:rPr>
          <w:u w:val="single"/>
        </w:rPr>
        <w:drawing>
          <wp:inline distT="0" distB="0" distL="0" distR="0">
            <wp:extent cx="2825750" cy="1727200"/>
            <wp:effectExtent l="0" t="0" r="0" b="0"/>
            <wp:docPr id="80" name="Image80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" name="Image80" descr=""/>
                    <pic:cNvPicPr>
                      <a:picLocks noChangeAspect="1" noChangeArrowheads="1"/>
                    </pic:cNvPicPr>
                  </pic:nvPicPr>
                  <pic:blipFill>
                    <a:blip r:embed="rId8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5750" cy="1727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79" w:name="i-80"/>
      <w:bookmarkEnd w:id="79"/>
    </w:p>
    <w:p>
      <w:pPr>
        <w:pStyle w:val="TextBody"/>
        <w:bidi w:val="0"/>
        <w:spacing w:before="0" w:after="0"/>
        <w:jc w:val="both"/>
        <w:rPr>
          <w:u w:val="single"/>
        </w:rPr>
      </w:pPr>
      <w:r>
        <w:rPr>
          <w:u w:val="single"/>
        </w:rPr>
        <w:drawing>
          <wp:inline distT="0" distB="0" distL="0" distR="0">
            <wp:extent cx="2825750" cy="1727200"/>
            <wp:effectExtent l="0" t="0" r="0" b="0"/>
            <wp:docPr id="81" name="Image8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" name="Image81" descr=""/>
                    <pic:cNvPicPr>
                      <a:picLocks noChangeAspect="1" noChangeArrowheads="1"/>
                    </pic:cNvPicPr>
                  </pic:nvPicPr>
                  <pic:blipFill>
                    <a:blip r:embed="rId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5750" cy="1727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80" w:name="i-81"/>
      <w:bookmarkEnd w:id="80"/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We have also adopted a number of “best practices” with respect to executive compensation, including:</w:t>
      </w:r>
    </w:p>
    <w:p>
      <w:pPr>
        <w:pStyle w:val="TextBody"/>
        <w:bidi w:val="0"/>
        <w:spacing w:before="0" w:after="0"/>
        <w:jc w:val="left"/>
        <w:rPr>
          <w:shd w:fill="auto" w:val="clear"/>
        </w:rPr>
      </w:pPr>
      <w:r>
        <w:rPr>
          <w:shd w:fill="auto" w:val="clear"/>
        </w:rPr>
        <w:drawing>
          <wp:inline distT="0" distB="0" distL="0" distR="0">
            <wp:extent cx="6602095" cy="2412365"/>
            <wp:effectExtent l="0" t="0" r="0" b="0"/>
            <wp:docPr id="82" name="Image8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" name="Image82" descr=""/>
                    <pic:cNvPicPr>
                      <a:picLocks noChangeAspect="1" noChangeArrowheads="1"/>
                    </pic:cNvPicPr>
                  </pic:nvPicPr>
                  <pic:blipFill>
                    <a:blip r:embed="rId8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02095" cy="24123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81" w:name="i-82"/>
      <w:bookmarkEnd w:id="81"/>
    </w:p>
    <w:tbl>
      <w:tblPr>
        <w:tblW w:w="4883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4"/>
        <w:gridCol w:w="273"/>
        <w:gridCol w:w="4486"/>
      </w:tblGrid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8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8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3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18745" cy="121920"/>
                  <wp:effectExtent l="0" t="0" r="0" b="0"/>
                  <wp:docPr id="83" name="Image83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3" name="Image83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745" cy="1219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82" w:name="i-83"/>
            <w:bookmarkEnd w:id="82"/>
          </w:p>
        </w:tc>
        <w:tc>
          <w:tcPr>
            <w:tcW w:w="448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Clawback policy applicable to NEOs, including ZMC</w:t>
            </w: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80" w:before="0" w:after="0"/>
              <w:jc w:val="both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Advisors, L.P. (“ZMC”)</w:t>
            </w:r>
          </w:p>
        </w:tc>
      </w:tr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8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3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18745" cy="121920"/>
                  <wp:effectExtent l="0" t="0" r="0" b="0"/>
                  <wp:docPr id="84" name="Image84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4" name="Image84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745" cy="1219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83" w:name="i-84"/>
            <w:bookmarkEnd w:id="83"/>
          </w:p>
        </w:tc>
        <w:tc>
          <w:tcPr>
            <w:tcW w:w="448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both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Incentive caps on annual bonuses to NEOs</w:t>
            </w:r>
          </w:p>
        </w:tc>
      </w:tr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8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3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18745" cy="121920"/>
                  <wp:effectExtent l="0" t="0" r="0" b="0"/>
                  <wp:docPr id="85" name="Image85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" name="Image85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745" cy="1219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84" w:name="i-85"/>
            <w:bookmarkEnd w:id="84"/>
          </w:p>
        </w:tc>
        <w:tc>
          <w:tcPr>
            <w:tcW w:w="448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both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Strong anti-hedging and anti-pledging policies</w:t>
            </w:r>
          </w:p>
        </w:tc>
      </w:tr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8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3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18745" cy="121920"/>
                  <wp:effectExtent l="0" t="0" r="0" b="0"/>
                  <wp:docPr id="86" name="Image86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6" name="Image86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745" cy="1219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85" w:name="i-86"/>
            <w:bookmarkEnd w:id="85"/>
          </w:p>
        </w:tc>
        <w:tc>
          <w:tcPr>
            <w:tcW w:w="448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Double-trigger acceleration of vesting on a change</w:t>
            </w: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80" w:before="0" w:after="0"/>
              <w:jc w:val="both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in control</w:t>
            </w:r>
          </w:p>
        </w:tc>
      </w:tr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8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3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18745" cy="121920"/>
                  <wp:effectExtent l="0" t="0" r="0" b="0"/>
                  <wp:docPr id="87" name="Image87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7" name="Image87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745" cy="1219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86" w:name="i-87"/>
            <w:bookmarkEnd w:id="86"/>
          </w:p>
        </w:tc>
        <w:tc>
          <w:tcPr>
            <w:tcW w:w="448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Meaningful stock ownership requirements (6x per</w:t>
            </w: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8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annum management fee, excluding any bonuses, for</w:t>
            </w: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8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each of CEO/Chairman and President; 3x annual</w:t>
            </w: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8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base salary for other NEOs; and 5x annual cash</w:t>
            </w: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80" w:before="0" w:after="0"/>
              <w:jc w:val="both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retainer for directors)</w:t>
            </w:r>
          </w:p>
        </w:tc>
      </w:tr>
    </w:tbl>
    <w:tbl>
      <w:tblPr>
        <w:tblW w:w="5033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88"/>
        <w:gridCol w:w="4591"/>
        <w:gridCol w:w="154"/>
      </w:tblGrid>
      <w:tr>
        <w:trPr/>
        <w:tc>
          <w:tcPr>
            <w:tcW w:w="2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88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18745" cy="121920"/>
                  <wp:effectExtent l="0" t="0" r="0" b="0"/>
                  <wp:docPr id="88" name="Image88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8" name="Image88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745" cy="1219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87" w:name="i-88"/>
            <w:bookmarkEnd w:id="87"/>
          </w:p>
        </w:tc>
        <w:tc>
          <w:tcPr>
            <w:tcW w:w="459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Equity incentive plan provisions that prohibit re-pricing</w:t>
            </w: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80" w:before="0" w:after="0"/>
              <w:jc w:val="both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of stock options without shareholder approval</w:t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88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18745" cy="121920"/>
                  <wp:effectExtent l="0" t="0" r="0" b="0"/>
                  <wp:docPr id="89" name="Image89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9" name="Image89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745" cy="1219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88" w:name="i-89"/>
            <w:bookmarkEnd w:id="88"/>
          </w:p>
        </w:tc>
        <w:tc>
          <w:tcPr>
            <w:tcW w:w="459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both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Limited perquisites</w:t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88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18745" cy="121920"/>
                  <wp:effectExtent l="0" t="0" r="0" b="0"/>
                  <wp:docPr id="90" name="Image90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0" name="Image90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745" cy="1219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89" w:name="i-90"/>
            <w:bookmarkEnd w:id="89"/>
          </w:p>
        </w:tc>
        <w:tc>
          <w:tcPr>
            <w:tcW w:w="459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No tax gross ups in respect of any excise taxes on</w:t>
            </w: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80" w:before="0" w:after="0"/>
              <w:jc w:val="both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parachute payments</w:t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88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18745" cy="121920"/>
                  <wp:effectExtent l="0" t="0" r="0" b="0"/>
                  <wp:docPr id="91" name="Image9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1" name="Image9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745" cy="1219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90" w:name="i-91"/>
            <w:bookmarkEnd w:id="90"/>
          </w:p>
        </w:tc>
        <w:tc>
          <w:tcPr>
            <w:tcW w:w="459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Annual compensation risk assessment for</w:t>
            </w: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80" w:before="0" w:after="0"/>
              <w:jc w:val="both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employee plans</w:t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88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18745" cy="121920"/>
                  <wp:effectExtent l="0" t="0" r="0" b="0"/>
                  <wp:docPr id="92" name="Image9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2" name="Image9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745" cy="1219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91" w:name="i-92"/>
            <w:bookmarkEnd w:id="91"/>
          </w:p>
        </w:tc>
        <w:tc>
          <w:tcPr>
            <w:tcW w:w="459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Retention of independent compensation consultants</w:t>
            </w: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80" w:before="0" w:after="0"/>
              <w:jc w:val="both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by the Compensation Committee</w:t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88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18745" cy="121920"/>
                  <wp:effectExtent l="0" t="0" r="0" b="0"/>
                  <wp:docPr id="93" name="Image93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3" name="Image93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745" cy="1219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92" w:name="i-93"/>
            <w:bookmarkEnd w:id="92"/>
          </w:p>
        </w:tc>
        <w:tc>
          <w:tcPr>
            <w:tcW w:w="459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Balanced compensation approach between short- and</w:t>
            </w: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80" w:before="0" w:after="0"/>
              <w:jc w:val="both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long-term incentive opportunities</w:t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4892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4651"/>
        <w:gridCol w:w="241"/>
      </w:tblGrid>
      <w:tr>
        <w:trPr/>
        <w:tc>
          <w:tcPr>
            <w:tcW w:w="46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651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sz w:val="24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TAKE-TWO INTERACTIVE SOFTWARE, INC.   |   2026</w:t>
            </w:r>
            <w:r>
              <w:rPr>
                <w:caps w:val="false"/>
                <w:smallCaps w:val="false"/>
                <w:strike w:val="false"/>
                <w:dstrike w:val="false"/>
                <w:color w:val="18333C"/>
                <w:sz w:val="24"/>
                <w:u w:val="none"/>
                <w:effect w:val="none"/>
              </w:rPr>
              <w:t xml:space="preserve"> 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 xml:space="preserve">Proxy Statement </w:t>
            </w:r>
          </w:p>
        </w:tc>
        <w:tc>
          <w:tcPr>
            <w:tcW w:w="24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9</w:t>
            </w:r>
          </w:p>
        </w:tc>
      </w:tr>
    </w:tbl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38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38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38"/>
          <w:u w:val="none"/>
          <w:effect w:val="none"/>
        </w:rPr>
        <w:t>PROPOSAL 1: ELECTION OF DIRECTORS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All members of the Board of Directors stand for election on an annual basis, and at the Annual Meeting 10 director nominees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will stand for election to hold office for a term expiring at the 2027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Annual Meeting of Shareholders. The Board of Directors,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upon the recommendation of the Corporate Governance Committee, has nominated the individuals named below. Each director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who is elected will serve until a successor is elected and qualified or until the director’s earlier resignation or removal.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The Corporate Governance Committee is responsible for evaluating the size and composition of the Board of Directors relative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to the evolving needs of the Company at any given time, and actively identifying qualified individuals to become new director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nominees as needed. The Corporate Governance Committee has developed criteria, including certain personal and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professional qualities, to evaluate whether the potential nominee would be a qualified director candidate for service on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Take-Two’s Board of Directors.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Our 10 nominees include nine independent, outside directors who as a group have extensive management experience, subject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matter expertise, and knowledge that is critical to the Company. The average director tenure is approximately twelve years and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the average age of the Board members is 67.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At the Annual Meeting, the proxies given by shareholders will be voted individually for the election of the persons named herein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as director nominees, unless a proxy card specifies that a shareholder is voting against any such nominee. If any of the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nominees listed below shall be unable to serve, it is intended that the proxy will be voted for such other nominees as may be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designated by the Board of Directors. Each of the persons named herein has indicated to the Board of Directors that he or she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will be available to serve as a director of the Company.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In an uncontested election, a director will be elected if the number of votes that are cast “FOR” his or her election by holders of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the stock present in person or represented by proxy entitled to vote on the election of directors exceeds the number of votes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cast “AGAINST” his or her election by such holders. The Company’s bylaws provide that any nominee for director who fails to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meet this standard shall promptly tender such individual’s resignation to the Corporate Governance Committee following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certification of the shareholder vote. For more information regarding this policy, see “Policy on Majority Voting for Directors.”</w:t>
      </w:r>
    </w:p>
    <w:tbl>
      <w:tblPr>
        <w:tblW w:w="904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346"/>
        <w:gridCol w:w="8701"/>
      </w:tblGrid>
      <w:tr>
        <w:trPr/>
        <w:tc>
          <w:tcPr>
            <w:tcW w:w="3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0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6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</w:rPr>
            </w:pPr>
            <w:r>
              <w:rPr>
                <w:caps w:val="false"/>
                <w:smallCaps w:val="fals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55575" cy="159385"/>
                  <wp:effectExtent l="0" t="0" r="0" b="0"/>
                  <wp:docPr id="94" name="Image94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4" name="Image94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5575" cy="1593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93" w:name="i-94"/>
            <w:bookmarkEnd w:id="93"/>
          </w:p>
        </w:tc>
        <w:tc>
          <w:tcPr>
            <w:tcW w:w="8701" w:type="dxa"/>
            <w:tcBorders/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sz w:val="17"/>
                <w:u w:val="none"/>
                <w:effect w:val="none"/>
              </w:rPr>
              <w:t xml:space="preserve">THE BOARD OF DIRECTORS RECOMMENDS THAT SHAREHOLDERS VOTE </w:t>
            </w:r>
            <w:r>
              <w:rPr>
                <w:caps w:val="false"/>
                <w:smallCaps w:val="false"/>
                <w:strike w:val="false"/>
                <w:dstrike w:val="false"/>
                <w:color w:val="64BFA6"/>
                <w:u w:val="none"/>
                <w:effect w:val="none"/>
              </w:rPr>
              <w:t>“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64BFA6"/>
                <w:sz w:val="17"/>
                <w:u w:val="none"/>
                <w:effect w:val="none"/>
              </w:rPr>
              <w:t>FOR”</w:t>
            </w:r>
            <w:r>
              <w:rPr>
                <w:caps w:val="false"/>
                <w:smallCaps w:val="false"/>
                <w:strike w:val="false"/>
                <w:dstrike w:val="false"/>
                <w:color w:val="5FC0B9"/>
                <w:u w:val="none"/>
                <w:effect w:val="none"/>
              </w:rPr>
              <w:t xml:space="preserve"> 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sz w:val="17"/>
                <w:u w:val="none"/>
                <w:effect w:val="none"/>
              </w:rPr>
              <w:t>THE ELECTION OF THE</w:t>
            </w: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70" w:before="0" w:after="0"/>
              <w:jc w:val="both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sz w:val="17"/>
                <w:u w:val="none"/>
                <w:effect w:val="none"/>
              </w:rPr>
              <w:t>NOMINEES NAMED BELOW:</w:t>
            </w:r>
          </w:p>
        </w:tc>
      </w:tr>
    </w:tbl>
    <w:tbl>
      <w:tblPr>
        <w:tblW w:w="493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301"/>
        <w:gridCol w:w="4636"/>
      </w:tblGrid>
      <w:tr>
        <w:trPr/>
        <w:tc>
          <w:tcPr>
            <w:tcW w:w="30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0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10</w:t>
            </w:r>
          </w:p>
        </w:tc>
        <w:tc>
          <w:tcPr>
            <w:tcW w:w="4636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sz w:val="24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TAKE-TWO INTERACTIVE SOFTWARE, INC.   |   2026</w:t>
            </w:r>
            <w:r>
              <w:rPr>
                <w:caps w:val="false"/>
                <w:smallCaps w:val="false"/>
                <w:strike w:val="false"/>
                <w:dstrike w:val="false"/>
                <w:color w:val="18333C"/>
                <w:sz w:val="24"/>
                <w:u w:val="none"/>
                <w:effect w:val="none"/>
              </w:rPr>
              <w:t xml:space="preserve"> 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Proxy Statement</w:t>
            </w:r>
          </w:p>
        </w:tc>
      </w:tr>
    </w:tbl>
    <w:p>
      <w:pPr>
        <w:pStyle w:val="TextBody"/>
        <w:bidi w:val="0"/>
        <w:spacing w:lineRule="atLeast" w:line="142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3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3"/>
          <w:u w:val="none"/>
          <w:effect w:val="none"/>
        </w:rPr>
        <w:t>PROPOSAL 1: ELECTION OF DIRECTORS</w:t>
      </w:r>
    </w:p>
    <w:tbl>
      <w:tblPr>
        <w:tblW w:w="1020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935"/>
        <w:gridCol w:w="109"/>
        <w:gridCol w:w="8161"/>
      </w:tblGrid>
      <w:tr>
        <w:trPr/>
        <w:tc>
          <w:tcPr>
            <w:tcW w:w="193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935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914400" cy="914400"/>
                  <wp:effectExtent l="0" t="0" r="0" b="0"/>
                  <wp:docPr id="95" name="Image95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5" name="Image95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4400" cy="914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94" w:name="i-95"/>
            <w:bookmarkEnd w:id="94"/>
          </w:p>
          <w:p>
            <w:pPr>
              <w:pStyle w:val="TableContents"/>
              <w:bidi w:val="0"/>
              <w:spacing w:lineRule="atLeast" w:line="150" w:before="0" w:after="0"/>
              <w:jc w:val="left"/>
              <w:rPr/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  <w:t>Age: 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B0295B"/>
                <w:sz w:val="15"/>
                <w:u w:val="none"/>
                <w:effect w:val="none"/>
              </w:rPr>
              <w:t>64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  <w:t>Director since: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B0295B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B0295B"/>
                <w:sz w:val="15"/>
                <w:u w:val="none"/>
                <w:effect w:val="none"/>
              </w:rPr>
              <w:t>March 2017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B0295B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B0295B"/>
                <w:sz w:val="15"/>
                <w:u w:val="none"/>
                <w:effect w:val="none"/>
              </w:rPr>
              <w:t>LEAD INDEPENDENT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B0295B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B0295B"/>
                <w:sz w:val="15"/>
                <w:u w:val="none"/>
                <w:effect w:val="none"/>
              </w:rPr>
              <w:t>DIRECTOR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5"/>
                <w:u w:val="none"/>
                <w:effect w:val="none"/>
              </w:rPr>
              <w:t>Committee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5"/>
                <w:u w:val="none"/>
                <w:effect w:val="none"/>
              </w:rPr>
              <w:t>Membership(s):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18333C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  <w:t xml:space="preserve">Executive Committee 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  <w:t>(Chair)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sz w:val="24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  <w:t>Beneficial owner of 8,719</w:t>
            </w:r>
            <w:r>
              <w:rPr>
                <w:caps w:val="false"/>
                <w:smallCaps w:val="false"/>
                <w:sz w:val="24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5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5"/>
              </w:rPr>
              <w:t>shares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1" w:type="dxa"/>
            <w:tcBorders/>
            <w:shd w:fill="64BFA6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both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  <w:t>LAVERNE SRINIVASAN</w:t>
            </w:r>
          </w:p>
        </w:tc>
      </w:tr>
      <w:tr>
        <w:trPr/>
        <w:tc>
          <w:tcPr>
            <w:tcW w:w="1935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935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9" w:type="dxa"/>
            <w:vMerge w:val="restart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1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both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64BFA6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64BFA6"/>
                <w:sz w:val="14"/>
                <w:u w:val="none"/>
                <w:effect w:val="none"/>
              </w:rPr>
              <w:t>Key qualifications and expertise provided to our board:</w:t>
            </w:r>
          </w:p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6"/>
                <w:u w:val="single"/>
              </w:rPr>
              <w:t>Ms. Srinivasan brings to the Board of Directors strong leadership skills, extensive experience leveraging</w:t>
            </w:r>
            <w:r>
              <w:rPr>
                <w:caps w:val="false"/>
                <w:smallCaps w:val="false"/>
                <w:u w:val="singl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6"/>
                <w:u w:val="single"/>
              </w:rPr>
              <w:t>technology in the education and entertainment industries, expertise in human capital management, and deep</w:t>
            </w:r>
            <w:r>
              <w:rPr>
                <w:caps w:val="false"/>
                <w:smallCaps w:val="false"/>
                <w:u w:val="singl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6"/>
                <w:u w:val="single"/>
              </w:rPr>
              <w:t>marketing expertise from her current and previous positions. Ms. Srinivasan became our Lead Independent</w:t>
            </w:r>
            <w:r>
              <w:rPr>
                <w:caps w:val="false"/>
                <w:smallCaps w:val="false"/>
                <w:u w:val="singl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6"/>
                <w:u w:val="single"/>
              </w:rPr>
              <w:t>Director after our 2023 annual meeting and in that role uses the expertise she brings to the Board of Directors for</w:t>
            </w:r>
            <w:r>
              <w:rPr>
                <w:caps w:val="false"/>
                <w:smallCaps w:val="false"/>
                <w:u w:val="singl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6"/>
                <w:u w:val="single"/>
              </w:rPr>
              <w:t>the oversight of our management agreement with ZMC as successor by assignment from ZelnickMedia</w:t>
            </w:r>
            <w:r>
              <w:rPr>
                <w:caps w:val="false"/>
                <w:smallCaps w:val="false"/>
                <w:u w:val="singl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6"/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6"/>
                <w:u w:val="single"/>
              </w:rPr>
              <w:t>Corporation (“ZelnickMedia”).</w:t>
            </w:r>
          </w:p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Ms. Srinivasan was Vice President of the National Program and Program Director for Education at the</w:t>
            </w:r>
            <w:r>
              <w:rPr>
                <w:caps w:val="false"/>
                <w:smallCaps w:val="false"/>
                <w:strike w:val="false"/>
                <w:dstrike w:val="false"/>
                <w:color w:val="18333C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Carnegie Corporation of New York until September 2025, employing creative strategies and innovative</w:t>
            </w:r>
            <w:r>
              <w:rPr>
                <w:caps w:val="false"/>
                <w:smallCaps w:val="false"/>
                <w:strike w:val="false"/>
                <w:dstrike w:val="false"/>
                <w:color w:val="18333C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thinking to strengthen urban education.</w:t>
            </w:r>
            <w:r>
              <w:rPr>
                <w:caps w:val="false"/>
                <w:smallCaps w:val="false"/>
                <w:u w:val="single"/>
              </w:rPr>
              <w:t> 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6"/>
                <w:u w:val="single"/>
              </w:rPr>
              <w:t>From 2014 through September 2025, she oversaw grant making and</w:t>
            </w:r>
            <w:r>
              <w:rPr>
                <w:caps w:val="false"/>
                <w:smallCaps w:val="false"/>
                <w:u w:val="singl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6"/>
                <w:u w:val="single"/>
              </w:rPr>
              <w:t>other activities aimed at engaging parents and communities, improved teaching and leadership for learning,</w:t>
            </w:r>
            <w:r>
              <w:rPr>
                <w:caps w:val="false"/>
                <w:smallCaps w:val="false"/>
                <w:u w:val="singl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6"/>
                <w:u w:val="single"/>
              </w:rPr>
              <w:t>advanced innovative learning environment designs, provided K-12 pathways to college and career success, and</w:t>
            </w:r>
            <w:r>
              <w:rPr>
                <w:caps w:val="false"/>
                <w:smallCaps w:val="false"/>
                <w:u w:val="singl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6"/>
                <w:u w:val="single"/>
              </w:rPr>
              <w:t>fostered integrated approaches to innovation and learning in the field of education. Ms. Srinivasan received a BA</w:t>
            </w:r>
            <w:r>
              <w:rPr>
                <w:caps w:val="false"/>
                <w:smallCaps w:val="false"/>
                <w:u w:val="singl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6"/>
                <w:u w:val="single"/>
              </w:rPr>
              <w:t>from Harvard College and a JD from Harvard Law School.</w:t>
            </w:r>
            <w:r>
              <w:rPr>
                <w:caps w:val="false"/>
                <w:smallCaps w:val="false"/>
                <w:u w:val="single"/>
              </w:rPr>
              <w:t xml:space="preserve"> </w:t>
            </w:r>
          </w:p>
        </w:tc>
      </w:tr>
      <w:tr>
        <w:trPr/>
        <w:tc>
          <w:tcPr>
            <w:tcW w:w="1935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9" w:type="dxa"/>
            <w:vMerge w:val="continue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161" w:type="dxa"/>
            <w:tcBorders>
              <w:bottom w:val="single" w:sz="2" w:space="0" w:color="8C8D8F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935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9" w:type="dxa"/>
            <w:vMerge w:val="continue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161" w:type="dxa"/>
            <w:tcBorders>
              <w:top w:val="single" w:sz="2" w:space="0" w:color="8C8D8F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935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9" w:type="dxa"/>
            <w:vMerge w:val="continue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161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64BFA6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64BFA6"/>
                <w:sz w:val="14"/>
                <w:u w:val="none"/>
                <w:effect w:val="none"/>
              </w:rPr>
              <w:t>Additional Public Directorships (current):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18333C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6"/>
              </w:rPr>
              <w:t>None</w:t>
            </w:r>
          </w:p>
        </w:tc>
      </w:tr>
      <w:tr>
        <w:trPr/>
        <w:tc>
          <w:tcPr>
            <w:tcW w:w="1935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9" w:type="dxa"/>
            <w:vMerge w:val="continue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161" w:type="dxa"/>
            <w:tcBorders>
              <w:bottom w:val="single" w:sz="2" w:space="0" w:color="8C8D8F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935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9" w:type="dxa"/>
            <w:vMerge w:val="continue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161" w:type="dxa"/>
            <w:tcBorders>
              <w:top w:val="single" w:sz="2" w:space="0" w:color="8C8D8F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935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9" w:type="dxa"/>
            <w:vMerge w:val="continue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161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both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64BFA6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64BFA6"/>
                <w:sz w:val="14"/>
                <w:u w:val="none"/>
                <w:effect w:val="none"/>
              </w:rPr>
              <w:t>Prior professional roles:</w:t>
            </w:r>
          </w:p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6"/>
                <w:u w:val="single"/>
              </w:rPr>
              <w:t>From 2012 through 2014, Ms. Srinivasan was the Co-Founder of Fiero Now, an education technology company.</w:t>
            </w:r>
            <w:r>
              <w:rPr>
                <w:caps w:val="false"/>
                <w:smallCaps w:val="false"/>
                <w:u w:val="singl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6"/>
                <w:u w:val="single"/>
              </w:rPr>
              <w:t>Prior to Fiero Now, she worked at various educational technology, urban district change, and non-profit education</w:t>
            </w:r>
            <w:r>
              <w:rPr>
                <w:caps w:val="false"/>
                <w:smallCaps w:val="false"/>
                <w:u w:val="singl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6"/>
                <w:u w:val="single"/>
              </w:rPr>
              <w:t>reform companies, including Time to Know, Education Champions for All and New Leaders for New Schools.</w:t>
            </w:r>
            <w:r>
              <w:rPr>
                <w:caps w:val="false"/>
                <w:smallCaps w:val="false"/>
                <w:u w:val="singl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6"/>
                <w:u w:val="single"/>
              </w:rPr>
              <w:t>From 2003 through 2006, Ms. Srinivasan served as Deputy Chancellor for the New York City Department of</w:t>
            </w:r>
            <w:r>
              <w:rPr>
                <w:caps w:val="false"/>
                <w:smallCaps w:val="false"/>
                <w:u w:val="singl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6"/>
                <w:u w:val="single"/>
              </w:rPr>
              <w:t>Education. In addition, from 1993 through 2003, she served in various roles at BMG Entertainment, including as</w:t>
            </w:r>
            <w:r>
              <w:rPr>
                <w:caps w:val="false"/>
                <w:smallCaps w:val="false"/>
                <w:u w:val="singl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6"/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6"/>
                <w:u w:val="single"/>
              </w:rPr>
              <w:t>Senior Vice President and General Counsel.</w:t>
            </w:r>
          </w:p>
        </w:tc>
      </w:tr>
      <w:tr>
        <w:trPr/>
        <w:tc>
          <w:tcPr>
            <w:tcW w:w="1935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9" w:type="dxa"/>
            <w:vMerge w:val="continue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161" w:type="dxa"/>
            <w:tcBorders>
              <w:bottom w:val="single" w:sz="2" w:space="0" w:color="8C8D8F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935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9" w:type="dxa"/>
            <w:vMerge w:val="continue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161" w:type="dxa"/>
            <w:tcBorders>
              <w:top w:val="single" w:sz="2" w:space="0" w:color="8C8D8F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935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9" w:type="dxa"/>
            <w:vMerge w:val="continue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161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both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64BFA6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64BFA6"/>
                <w:sz w:val="14"/>
                <w:u w:val="none"/>
                <w:effect w:val="none"/>
              </w:rPr>
              <w:t>Other board experience:</w:t>
            </w:r>
          </w:p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6"/>
                <w:u w:val="single"/>
              </w:rPr>
              <w:t>Ms. Srinivasan serves as chairman of the board of Educational Testing Service, as a member of the national</w:t>
            </w:r>
            <w:r>
              <w:rPr>
                <w:caps w:val="false"/>
                <w:smallCaps w:val="false"/>
                <w:u w:val="singl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6"/>
                <w:u w:val="single"/>
              </w:rPr>
              <w:t>advisory board of College Promise Campaign, as a member of the advisory boards of National Education Equity</w:t>
            </w:r>
            <w:r>
              <w:rPr>
                <w:caps w:val="false"/>
                <w:smallCaps w:val="false"/>
                <w:u w:val="singl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6"/>
                <w:u w:val="single"/>
              </w:rPr>
              <w:t>Lab, EdTech Evidence Exchange, Global Science of Learning for Education Network, Global Cities, Inc.,</w:t>
            </w:r>
            <w:r>
              <w:rPr>
                <w:caps w:val="false"/>
                <w:smallCaps w:val="false"/>
                <w:u w:val="singl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6"/>
                <w:u w:val="single"/>
              </w:rPr>
              <w:t>Transcend Inc., Urban Schools Human Capital Academy, and America’s Promise Alliance, and was a founding</w:t>
            </w:r>
            <w:r>
              <w:rPr>
                <w:caps w:val="false"/>
                <w:smallCaps w:val="false"/>
                <w:u w:val="singl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6"/>
                <w:u w:val="single"/>
              </w:rPr>
              <w:t>member of the Consortium for Policy Research in Education’s task force on Strategic Management of</w:t>
            </w:r>
            <w:r>
              <w:rPr>
                <w:caps w:val="false"/>
                <w:smallCaps w:val="false"/>
                <w:u w:val="singl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6"/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6"/>
                <w:u w:val="single"/>
              </w:rPr>
              <w:t>Human Capital.</w:t>
            </w:r>
          </w:p>
        </w:tc>
      </w:tr>
      <w:tr>
        <w:trPr/>
        <w:tc>
          <w:tcPr>
            <w:tcW w:w="1935" w:type="dxa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vMerge w:val="continue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161" w:type="dxa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0176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666"/>
        <w:gridCol w:w="109"/>
        <w:gridCol w:w="8401"/>
      </w:tblGrid>
      <w:tr>
        <w:trPr/>
        <w:tc>
          <w:tcPr>
            <w:tcW w:w="166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0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666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914400" cy="914400"/>
                  <wp:effectExtent l="0" t="0" r="0" b="0"/>
                  <wp:docPr id="96" name="Image96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6" name="Image96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4400" cy="914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95" w:name="i-96"/>
            <w:bookmarkEnd w:id="95"/>
          </w:p>
          <w:p>
            <w:pPr>
              <w:pStyle w:val="TableContents"/>
              <w:bidi w:val="0"/>
              <w:spacing w:lineRule="atLeast" w:line="150" w:before="0" w:after="0"/>
              <w:jc w:val="left"/>
              <w:rPr/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  <w:t>Age: 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B0295B"/>
                <w:sz w:val="15"/>
                <w:u w:val="none"/>
                <w:effect w:val="none"/>
              </w:rPr>
              <w:t>80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  <w:t>Director since: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B0295B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B0295B"/>
                <w:sz w:val="15"/>
                <w:u w:val="none"/>
                <w:effect w:val="none"/>
              </w:rPr>
              <w:t>March 2007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B0295B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B0295B"/>
                <w:sz w:val="15"/>
                <w:u w:val="none"/>
                <w:effect w:val="none"/>
              </w:rPr>
              <w:t>INDEPENDENT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B0295B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B0295B"/>
                <w:sz w:val="15"/>
                <w:u w:val="none"/>
                <w:effect w:val="none"/>
              </w:rPr>
              <w:t>DIRECTOR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5"/>
                <w:u w:val="none"/>
                <w:effect w:val="none"/>
              </w:rPr>
              <w:t>Committee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5"/>
                <w:u w:val="none"/>
                <w:effect w:val="none"/>
              </w:rPr>
              <w:t>Membership(s):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18333C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  <w:t>Executive Committee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18333C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  <w:t xml:space="preserve">Compensation 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  <w:t>Committee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  <w:t xml:space="preserve">Beneficial owner of 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sz w:val="24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  <w:t>20,374</w:t>
            </w:r>
            <w:r>
              <w:rPr>
                <w:caps w:val="false"/>
                <w:smallCaps w:val="false"/>
                <w:sz w:val="24"/>
              </w:rPr>
              <w:t xml:space="preserve"> 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5"/>
              </w:rPr>
              <w:t>shares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01" w:type="dxa"/>
            <w:tcBorders/>
            <w:shd w:fill="64BFA6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  <w:t>MICHAEL DORNEMANN</w:t>
            </w:r>
          </w:p>
        </w:tc>
      </w:tr>
      <w:tr>
        <w:trPr/>
        <w:tc>
          <w:tcPr>
            <w:tcW w:w="1666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0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666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9" w:type="dxa"/>
            <w:vMerge w:val="restart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01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both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64BFA6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64BFA6"/>
                <w:sz w:val="14"/>
                <w:u w:val="none"/>
                <w:effect w:val="none"/>
              </w:rPr>
              <w:t>Key qualifications and expertise provided to our board:</w:t>
            </w:r>
          </w:p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Mr. Dornemann’s highly relevant leadership, management, marketing and consulting experience, including his</w:t>
            </w: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role as Chief Executive Officer of Bertelsmann Entertainment, strongly qualifies him to contribute to all aspects of</w:t>
            </w: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board discussion and operations. His accomplished history of service with fashion and entertainment companies,</w:t>
            </w: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including as an outside director, provides a unique level of insight into both our business and our governance.</w:t>
            </w:r>
          </w:p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Mr. Dornemann is an entertainment and marketing executive with more than 30 years of management</w:t>
            </w:r>
            <w:r>
              <w:rPr>
                <w:caps w:val="false"/>
                <w:smallCaps w:val="false"/>
                <w:strike w:val="false"/>
                <w:dstrike w:val="false"/>
                <w:color w:val="18333C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consulting, corporate development, strategic advisory and media experience.</w:t>
            </w:r>
            <w:r>
              <w:rPr>
                <w:caps w:val="false"/>
                <w:smallCaps w:val="false"/>
                <w:u w:val="single"/>
              </w:rPr>
              <w:t> 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6"/>
                <w:u w:val="single"/>
              </w:rPr>
              <w:t>Prior to 2001,</w:t>
            </w:r>
            <w:r>
              <w:rPr>
                <w:caps w:val="false"/>
                <w:smallCaps w:val="false"/>
                <w:u w:val="singl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6"/>
                <w:u w:val="single"/>
              </w:rPr>
              <w:t>Mr. Dornemann was an executive board member of Bertelsmann AG for 16 years and Chairman and Chief</w:t>
            </w:r>
            <w:r>
              <w:rPr>
                <w:caps w:val="false"/>
                <w:smallCaps w:val="false"/>
                <w:u w:val="singl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6"/>
                <w:u w:val="single"/>
              </w:rPr>
              <w:t>Executive Officer of Bertelsmann Entertainment (music and television division, BMG and RTL Group). Before</w:t>
            </w:r>
            <w:r>
              <w:rPr>
                <w:caps w:val="false"/>
                <w:smallCaps w:val="false"/>
                <w:u w:val="singl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6"/>
                <w:u w:val="single"/>
              </w:rPr>
              <w:t>that, he held positions with IBM and Boston Consulting Group. Mr. Dornemann received an MBA and PhD from</w:t>
            </w:r>
            <w:r>
              <w:rPr>
                <w:caps w:val="false"/>
                <w:smallCaps w:val="false"/>
                <w:u w:val="singl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6"/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6"/>
                <w:u w:val="single"/>
              </w:rPr>
              <w:t>Technical University Berlin.</w:t>
            </w:r>
          </w:p>
        </w:tc>
      </w:tr>
      <w:tr>
        <w:trPr/>
        <w:tc>
          <w:tcPr>
            <w:tcW w:w="1666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9" w:type="dxa"/>
            <w:vMerge w:val="continue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01" w:type="dxa"/>
            <w:tcBorders>
              <w:bottom w:val="single" w:sz="2" w:space="0" w:color="8C8D8F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666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9" w:type="dxa"/>
            <w:vMerge w:val="continue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01" w:type="dxa"/>
            <w:tcBorders>
              <w:top w:val="single" w:sz="2" w:space="0" w:color="8C8D8F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666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9" w:type="dxa"/>
            <w:vMerge w:val="continue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01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64BFA6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64BFA6"/>
                <w:sz w:val="14"/>
                <w:u w:val="none"/>
                <w:effect w:val="none"/>
              </w:rPr>
              <w:t>Additional Public Directorships (current):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18333C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6"/>
              </w:rPr>
              <w:t>None</w:t>
            </w:r>
          </w:p>
        </w:tc>
      </w:tr>
      <w:tr>
        <w:trPr/>
        <w:tc>
          <w:tcPr>
            <w:tcW w:w="1666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9" w:type="dxa"/>
            <w:vMerge w:val="continue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01" w:type="dxa"/>
            <w:tcBorders>
              <w:bottom w:val="single" w:sz="2" w:space="0" w:color="8C8D8F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666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9" w:type="dxa"/>
            <w:vMerge w:val="continue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01" w:type="dxa"/>
            <w:tcBorders>
              <w:top w:val="single" w:sz="2" w:space="0" w:color="8C8D8F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666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9" w:type="dxa"/>
            <w:vMerge w:val="continue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01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both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64BFA6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64BFA6"/>
                <w:sz w:val="14"/>
                <w:u w:val="none"/>
                <w:effect w:val="none"/>
              </w:rPr>
              <w:t>Other board experience:</w:t>
            </w:r>
          </w:p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Mr. Dornemann has previously served on several boards, including as Chairman of Jet Set AG, a worldwide</w:t>
            </w: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fashion company based in Switzerland, until 2009; as a director of Columbia Music Entertainment (CME) of</w:t>
            </w: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Japan until 2010; and as vice-chairman and an audit and compensation committee member of Access</w:t>
            </w: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Worldwide Communications until 2013.</w:t>
            </w:r>
          </w:p>
        </w:tc>
      </w:tr>
      <w:tr>
        <w:trPr/>
        <w:tc>
          <w:tcPr>
            <w:tcW w:w="1666" w:type="dxa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vMerge w:val="continue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01" w:type="dxa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4982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4651"/>
        <w:gridCol w:w="331"/>
      </w:tblGrid>
      <w:tr>
        <w:trPr/>
        <w:tc>
          <w:tcPr>
            <w:tcW w:w="46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651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sz w:val="24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TAKE-TWO INTERACTIVE SOFTWARE, INC.   |   2026</w:t>
            </w:r>
            <w:r>
              <w:rPr>
                <w:caps w:val="false"/>
                <w:smallCaps w:val="false"/>
                <w:strike w:val="false"/>
                <w:dstrike w:val="false"/>
                <w:color w:val="18333C"/>
                <w:sz w:val="24"/>
                <w:u w:val="none"/>
                <w:effect w:val="none"/>
              </w:rPr>
              <w:t xml:space="preserve"> 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 xml:space="preserve">Proxy Statement </w:t>
            </w:r>
          </w:p>
        </w:tc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11</w:t>
            </w:r>
          </w:p>
        </w:tc>
      </w:tr>
    </w:tbl>
    <w:p>
      <w:pPr>
        <w:pStyle w:val="TextBody"/>
        <w:bidi w:val="0"/>
        <w:spacing w:lineRule="atLeast" w:line="142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3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3"/>
          <w:u w:val="none"/>
          <w:effect w:val="none"/>
        </w:rPr>
        <w:t>PROPOSAL 1: ELECTION OF DIRECTORS</w:t>
      </w:r>
    </w:p>
    <w:tbl>
      <w:tblPr>
        <w:tblW w:w="10066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541"/>
        <w:gridCol w:w="109"/>
        <w:gridCol w:w="8416"/>
      </w:tblGrid>
      <w:tr>
        <w:trPr/>
        <w:tc>
          <w:tcPr>
            <w:tcW w:w="15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1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541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914400" cy="914400"/>
                  <wp:effectExtent l="0" t="0" r="0" b="0"/>
                  <wp:docPr id="97" name="Image97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" name="Image97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4400" cy="914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96" w:name="i-97"/>
            <w:bookmarkEnd w:id="96"/>
          </w:p>
          <w:p>
            <w:pPr>
              <w:pStyle w:val="TableContents"/>
              <w:bidi w:val="0"/>
              <w:spacing w:lineRule="atLeast" w:line="150" w:before="0" w:after="0"/>
              <w:jc w:val="left"/>
              <w:rPr/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  <w:t>Age: 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B0295B"/>
                <w:sz w:val="15"/>
                <w:u w:val="none"/>
                <w:effect w:val="none"/>
              </w:rPr>
              <w:t>76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  <w:t>Director since: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B0295B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B0295B"/>
                <w:sz w:val="15"/>
                <w:u w:val="none"/>
                <w:effect w:val="none"/>
              </w:rPr>
              <w:t>May 2022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B0295B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B0295B"/>
                <w:sz w:val="15"/>
                <w:u w:val="none"/>
                <w:effect w:val="none"/>
              </w:rPr>
              <w:t>INDEPENDENT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B0295B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B0295B"/>
                <w:sz w:val="15"/>
                <w:u w:val="none"/>
                <w:effect w:val="none"/>
              </w:rPr>
              <w:t>DIRECTOR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5"/>
                <w:u w:val="none"/>
                <w:effect w:val="none"/>
              </w:rPr>
              <w:t>Committee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5"/>
                <w:u w:val="none"/>
                <w:effect w:val="none"/>
              </w:rPr>
              <w:t>Membership(s):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18333C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  <w:t xml:space="preserve">Technology Risk 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  <w:t xml:space="preserve">Committee 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  <w:t xml:space="preserve">Beneficial owner of 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sz w:val="24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  <w:t>57,187</w:t>
            </w:r>
            <w:r>
              <w:rPr>
                <w:caps w:val="false"/>
                <w:smallCaps w:val="false"/>
                <w:strike w:val="false"/>
                <w:dstrike w:val="false"/>
                <w:sz w:val="24"/>
                <w:u w:val="none"/>
                <w:effect w:val="none"/>
              </w:rPr>
              <w:t> 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  <w:t>shares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16" w:type="dxa"/>
            <w:tcBorders/>
            <w:shd w:fill="64BFA6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  <w:t>WILLIAM “BING” GORDON</w:t>
            </w:r>
          </w:p>
        </w:tc>
      </w:tr>
      <w:tr>
        <w:trPr/>
        <w:tc>
          <w:tcPr>
            <w:tcW w:w="1541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1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541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9" w:type="dxa"/>
            <w:vMerge w:val="restart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16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both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64BFA6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64BFA6"/>
                <w:sz w:val="14"/>
                <w:u w:val="none"/>
                <w:effect w:val="none"/>
              </w:rPr>
              <w:t>Key qualifications and expertise provided to our board:</w:t>
            </w:r>
          </w:p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Mr. Gordon was selected to serve on our Board of Directors due to his extensive leadership and entrepreneurial</w:t>
            </w: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experience as a senior executive of Electronic Arts Inc. (“EA”), a company he co-founded and through which he</w:t>
            </w: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gained experience with emerging technologies and consumer-focused product development and marketing</w:t>
            </w: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issues, as well as for his experience as a member of the board of directors and special consultant to Zynga, and</w:t>
            </w: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as a venture capitalist investing in and guiding technology companies.</w:t>
            </w:r>
          </w:p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Mr. Gordon has been a partner at Kleiner Perkins Caufield &amp; Byers, a venture capital firm, since June</w:t>
            </w:r>
            <w:r>
              <w:rPr>
                <w:caps w:val="false"/>
                <w:smallCaps w:val="false"/>
                <w:strike w:val="false"/>
                <w:dstrike w:val="false"/>
                <w:color w:val="18333C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2008.</w:t>
            </w: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 xml:space="preserve"> 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Mr. Gordon co-founded EA and held various roles, including Vice President, Marketing and later, Executive</w:t>
            </w: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Vice President and Chief Creative Officer from March 1998 to May 2008. Mr. Gordon received a BA from Yale</w:t>
            </w: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University and an MBA from Stanford Graduate School of Business.</w:t>
            </w:r>
          </w:p>
        </w:tc>
      </w:tr>
      <w:tr>
        <w:trPr/>
        <w:tc>
          <w:tcPr>
            <w:tcW w:w="1541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9" w:type="dxa"/>
            <w:vMerge w:val="continue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16" w:type="dxa"/>
            <w:tcBorders>
              <w:bottom w:val="single" w:sz="2" w:space="0" w:color="8C8D8F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541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9" w:type="dxa"/>
            <w:vMerge w:val="continue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16" w:type="dxa"/>
            <w:tcBorders>
              <w:top w:val="single" w:sz="2" w:space="0" w:color="8C8D8F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541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9" w:type="dxa"/>
            <w:vMerge w:val="continue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16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64BFA6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64BFA6"/>
                <w:sz w:val="14"/>
                <w:u w:val="none"/>
                <w:effect w:val="none"/>
              </w:rPr>
              <w:t>Additional Public Directorships (current):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18333C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6"/>
              </w:rPr>
              <w:t>Duolingo, Inc.</w:t>
            </w:r>
          </w:p>
        </w:tc>
      </w:tr>
      <w:tr>
        <w:trPr/>
        <w:tc>
          <w:tcPr>
            <w:tcW w:w="1541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9" w:type="dxa"/>
            <w:vMerge w:val="continue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16" w:type="dxa"/>
            <w:tcBorders>
              <w:bottom w:val="single" w:sz="2" w:space="0" w:color="8C8D8F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541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9" w:type="dxa"/>
            <w:vMerge w:val="continue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16" w:type="dxa"/>
            <w:tcBorders>
              <w:top w:val="single" w:sz="2" w:space="0" w:color="8C8D8F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541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9" w:type="dxa"/>
            <w:vMerge w:val="continue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16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both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64BFA6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64BFA6"/>
                <w:sz w:val="14"/>
                <w:u w:val="none"/>
                <w:effect w:val="none"/>
              </w:rPr>
              <w:t>Other board experience:</w:t>
            </w:r>
          </w:p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Mr. Gordon serves on the boards of directors of Duolingo, a language learning company; and privately held</w:t>
            </w: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companies including Dreamscape, a VR and learning systems company; Flipboard, a media sharing company;</w:t>
            </w: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Playcast, a game streaming platform; Aura, a private telephony safety company; Synthbee, a private AI agent</w:t>
            </w: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provider; Tacta, a private physical AI company in hand robotics; Cameo, a private media company; Playful.AI, a</w:t>
            </w: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private AI games company; Nuna Health, a private Medicare gamification company; and Lord of the Games, a</w:t>
            </w: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private board game design tools company. Mr. Gordon served as a member of the boards of directors of Zynga</w:t>
            </w: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Inc. from 2008 to May 2022, when we acquired Zynga, and Truecaller AB, a telephony company, from 2020 until</w:t>
            </w: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March 2024. Mr. Gordon was a special advisor to the board of directors of Amazon.com, Inc. until April 2023, and</w:t>
            </w: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was previously a member of its board of directors from 2003 until January 2018. He was also a founding director</w:t>
            </w: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at ngmoco, LLC (acquired by DeNA Co. Ltd. in 2010) and Audible, Inc. (acquired by Amazon.com, Inc. in 2008).</w:t>
            </w: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Mr. Gordon was awarded the Academy of Interactive Arts &amp; Sciences’ Lifetime Achievement Award in 2011 and</w:t>
            </w: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held the game industry’s first ever endowed chair in game design at the University of Southern California School</w:t>
            </w: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of Cinematic Arts.</w:t>
            </w:r>
          </w:p>
        </w:tc>
      </w:tr>
      <w:tr>
        <w:trPr/>
        <w:tc>
          <w:tcPr>
            <w:tcW w:w="1541" w:type="dxa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vMerge w:val="continue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16" w:type="dxa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0081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541"/>
        <w:gridCol w:w="109"/>
        <w:gridCol w:w="8431"/>
      </w:tblGrid>
      <w:tr>
        <w:trPr/>
        <w:tc>
          <w:tcPr>
            <w:tcW w:w="15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541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914400" cy="914400"/>
                  <wp:effectExtent l="0" t="0" r="0" b="0"/>
                  <wp:docPr id="98" name="Image98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8" name="Image98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4400" cy="914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97" w:name="i-98"/>
            <w:bookmarkEnd w:id="97"/>
          </w:p>
          <w:p>
            <w:pPr>
              <w:pStyle w:val="TableContents"/>
              <w:bidi w:val="0"/>
              <w:spacing w:lineRule="atLeast" w:line="150" w:before="0" w:after="0"/>
              <w:jc w:val="left"/>
              <w:rPr/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  <w:t>Age: 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B0295B"/>
                <w:sz w:val="15"/>
                <w:u w:val="none"/>
                <w:effect w:val="none"/>
              </w:rPr>
              <w:t>68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  <w:t>Director since: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B0295B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B0295B"/>
                <w:sz w:val="15"/>
                <w:u w:val="none"/>
                <w:effect w:val="none"/>
              </w:rPr>
              <w:t>September 2019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B0295B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B0295B"/>
                <w:sz w:val="15"/>
                <w:u w:val="none"/>
                <w:effect w:val="none"/>
              </w:rPr>
              <w:t>INDEPENDENT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B0295B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B0295B"/>
                <w:sz w:val="15"/>
                <w:u w:val="none"/>
                <w:effect w:val="none"/>
              </w:rPr>
              <w:t>DIRECTOR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5"/>
                <w:u w:val="none"/>
                <w:effect w:val="none"/>
              </w:rPr>
              <w:t>Committee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5"/>
                <w:u w:val="none"/>
                <w:effect w:val="none"/>
              </w:rPr>
              <w:t>Membership(s):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  <w:t xml:space="preserve">Corporate 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  <w:t xml:space="preserve">Governance 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  <w:t>Committee (Chair)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18333C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  <w:t xml:space="preserve">Compensation 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  <w:t>Committee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  <w:t xml:space="preserve">Beneficial owner of 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sz w:val="24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  <w:t>10,727</w:t>
            </w:r>
            <w:r>
              <w:rPr>
                <w:caps w:val="false"/>
                <w:smallCaps w:val="false"/>
                <w:strike w:val="false"/>
                <w:dstrike w:val="false"/>
                <w:sz w:val="24"/>
                <w:u w:val="none"/>
                <w:effect w:val="none"/>
              </w:rPr>
              <w:t> 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  <w:t>shares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31" w:type="dxa"/>
            <w:tcBorders/>
            <w:shd w:fill="64BFA6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  <w:t>ROLAND HERNANDEZ</w:t>
            </w:r>
          </w:p>
        </w:tc>
      </w:tr>
      <w:tr>
        <w:trPr/>
        <w:tc>
          <w:tcPr>
            <w:tcW w:w="1541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541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9" w:type="dxa"/>
            <w:vMerge w:val="restart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31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both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64BFA6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64BFA6"/>
                <w:sz w:val="14"/>
                <w:u w:val="none"/>
                <w:effect w:val="none"/>
              </w:rPr>
              <w:t>Key qualifications and expertise provided to our board:</w:t>
            </w:r>
          </w:p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As the former President, Chief Executive Officer and Chairman of Telemundo Group, Inc., a television and</w:t>
            </w: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entertainment company, and through his experience on the Boards of Fox Corporation, MGM Resorts</w:t>
            </w: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International, Sony Corporation, Walmart Inc. and Vail Resorts, Inc., Mr. Hernandez offers significant experience</w:t>
            </w: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in international business and financial matters and a broad understanding of the retail and media sectors which</w:t>
            </w: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is particularly relevant to the Company. In addition, with his extensive experience on the boards of large public</w:t>
            </w: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corporations, Mr. Hernandez brings broad corporate governance expertise, along with significant knowledge of</w:t>
            </w: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board operations, to our Board of Directors.</w:t>
            </w:r>
          </w:p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Mr. Hernandez is the Founding Principal and Chief Executive Officer of Hernandez Media Ventures, a</w:t>
            </w:r>
            <w:r>
              <w:rPr>
                <w:caps w:val="false"/>
                <w:smallCaps w:val="false"/>
                <w:strike w:val="false"/>
                <w:dstrike w:val="false"/>
                <w:color w:val="18333C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privately held company engaged in the acquisition and management of media assets.</w:t>
            </w:r>
            <w:r>
              <w:rPr>
                <w:caps w:val="false"/>
                <w:smallCaps w:val="false"/>
                <w:strike w:val="false"/>
                <w:dstrike w:val="false"/>
                <w:color w:val="15333B"/>
                <w:u w:val="none"/>
                <w:effect w:val="none"/>
              </w:rPr>
              <w:t xml:space="preserve"> 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He has served in</w:t>
            </w: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this capacity since January 2001. Before founding Hernandez Media Ventures, Mr. Hernandez served as</w:t>
            </w: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Chairman of Telemundo Group, Inc., a Spanish-language television and entertainment company, from 1998 to</w:t>
            </w: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2000 and as President and Chief Executive Officer from 1995 to 2000. Mr. Hernandez received a BA from</w:t>
            </w: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Harvard College and a JD from Harvard Law School.</w:t>
            </w:r>
          </w:p>
        </w:tc>
      </w:tr>
      <w:tr>
        <w:trPr/>
        <w:tc>
          <w:tcPr>
            <w:tcW w:w="1541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9" w:type="dxa"/>
            <w:vMerge w:val="continue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31" w:type="dxa"/>
            <w:tcBorders>
              <w:bottom w:val="single" w:sz="2" w:space="0" w:color="8C8D8F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541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9" w:type="dxa"/>
            <w:vMerge w:val="continue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31" w:type="dxa"/>
            <w:tcBorders>
              <w:top w:val="single" w:sz="2" w:space="0" w:color="8C8D8F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541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9" w:type="dxa"/>
            <w:vMerge w:val="continue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31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64BFA6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64BFA6"/>
                <w:sz w:val="14"/>
                <w:u w:val="none"/>
                <w:effect w:val="none"/>
              </w:rPr>
              <w:t>Additional Public Directorships (current):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18333C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6"/>
              </w:rPr>
              <w:t>US Bancorp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18333C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6"/>
              </w:rPr>
              <w:t>Fox Corporation</w:t>
            </w:r>
          </w:p>
        </w:tc>
      </w:tr>
      <w:tr>
        <w:trPr/>
        <w:tc>
          <w:tcPr>
            <w:tcW w:w="1541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9" w:type="dxa"/>
            <w:vMerge w:val="continue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31" w:type="dxa"/>
            <w:tcBorders>
              <w:bottom w:val="single" w:sz="2" w:space="0" w:color="8C8D8F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541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9" w:type="dxa"/>
            <w:vMerge w:val="continue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31" w:type="dxa"/>
            <w:tcBorders>
              <w:top w:val="single" w:sz="2" w:space="0" w:color="8C8D8F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541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9" w:type="dxa"/>
            <w:vMerge w:val="continue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31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both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64BFA6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64BFA6"/>
                <w:sz w:val="14"/>
                <w:u w:val="none"/>
                <w:effect w:val="none"/>
              </w:rPr>
              <w:t>Other board experience:</w:t>
            </w:r>
          </w:p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Until April 2019, Mr. Hernandez served as the Chairman of the Board of Belmond, Ltd. Until December 2019,</w:t>
            </w: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Mr. Hernandez served as a member of the board of directors of Vail Resorts, Inc. Until May 2021, Mr. Hernandez</w:t>
            </w: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served as a member of the board of directors of MGM Resorts International. Mr. Hernandez serves on the</w:t>
            </w: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advisory board of Harvard Law School. He previously served on the board of directors of Sony Corporation and</w:t>
            </w: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Walmart Inc.</w:t>
            </w:r>
          </w:p>
        </w:tc>
      </w:tr>
      <w:tr>
        <w:trPr/>
        <w:tc>
          <w:tcPr>
            <w:tcW w:w="1541" w:type="dxa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vMerge w:val="continue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31" w:type="dxa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493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301"/>
        <w:gridCol w:w="4636"/>
      </w:tblGrid>
      <w:tr>
        <w:trPr/>
        <w:tc>
          <w:tcPr>
            <w:tcW w:w="30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0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12</w:t>
            </w:r>
          </w:p>
        </w:tc>
        <w:tc>
          <w:tcPr>
            <w:tcW w:w="4636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sz w:val="24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TAKE-TWO INTERACTIVE SOFTWARE, INC.   |   2026</w:t>
            </w:r>
            <w:r>
              <w:rPr>
                <w:caps w:val="false"/>
                <w:smallCaps w:val="false"/>
                <w:strike w:val="false"/>
                <w:dstrike w:val="false"/>
                <w:color w:val="18333C"/>
                <w:sz w:val="24"/>
                <w:u w:val="none"/>
                <w:effect w:val="none"/>
              </w:rPr>
              <w:t xml:space="preserve"> 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Proxy Statement</w:t>
            </w:r>
          </w:p>
        </w:tc>
      </w:tr>
    </w:tbl>
    <w:p>
      <w:pPr>
        <w:pStyle w:val="TextBody"/>
        <w:bidi w:val="0"/>
        <w:spacing w:lineRule="atLeast" w:line="142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3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3"/>
          <w:u w:val="none"/>
          <w:effect w:val="none"/>
        </w:rPr>
        <w:t>PROPOSAL 1: ELECTION OF DIRECTORS</w:t>
      </w:r>
    </w:p>
    <w:tbl>
      <w:tblPr>
        <w:tblW w:w="10096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541"/>
        <w:gridCol w:w="109"/>
        <w:gridCol w:w="8446"/>
      </w:tblGrid>
      <w:tr>
        <w:trPr/>
        <w:tc>
          <w:tcPr>
            <w:tcW w:w="15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541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914400" cy="914400"/>
                  <wp:effectExtent l="0" t="0" r="0" b="0"/>
                  <wp:docPr id="99" name="Image99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9" name="Image99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4400" cy="914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98" w:name="i-99"/>
            <w:bookmarkEnd w:id="98"/>
          </w:p>
          <w:p>
            <w:pPr>
              <w:pStyle w:val="TableContents"/>
              <w:bidi w:val="0"/>
              <w:spacing w:lineRule="atLeast" w:line="150" w:before="0" w:after="0"/>
              <w:jc w:val="left"/>
              <w:rPr/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  <w:t>Age: 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B0295B"/>
                <w:sz w:val="15"/>
                <w:u w:val="none"/>
                <w:effect w:val="none"/>
              </w:rPr>
              <w:t>67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  <w:t>Director since: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B0295B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B0295B"/>
                <w:sz w:val="15"/>
                <w:u w:val="none"/>
                <w:effect w:val="none"/>
              </w:rPr>
              <w:t>March 2007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B0295B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B0295B"/>
                <w:sz w:val="15"/>
                <w:u w:val="none"/>
                <w:effect w:val="none"/>
              </w:rPr>
              <w:t>INDEPENDENT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B0295B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B0295B"/>
                <w:sz w:val="15"/>
                <w:u w:val="none"/>
                <w:effect w:val="none"/>
              </w:rPr>
              <w:t>DIRECTOR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5"/>
                <w:u w:val="none"/>
                <w:effect w:val="none"/>
              </w:rPr>
              <w:t>Committee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5"/>
                <w:u w:val="none"/>
                <w:effect w:val="none"/>
              </w:rPr>
              <w:t>Membership(s):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18333C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  <w:t xml:space="preserve">Technology Risk 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  <w:t>Committee (Chair)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18333C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  <w:t xml:space="preserve">Corporate 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  <w:t xml:space="preserve">Governance 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  <w:t>Committee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  <w:t xml:space="preserve">Beneficial owner of 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sz w:val="24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  <w:t>21,868</w:t>
            </w:r>
            <w:r>
              <w:rPr>
                <w:caps w:val="false"/>
                <w:smallCaps w:val="false"/>
                <w:strike w:val="false"/>
                <w:dstrike w:val="false"/>
                <w:sz w:val="24"/>
                <w:u w:val="none"/>
                <w:effect w:val="none"/>
              </w:rPr>
              <w:t> 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  <w:t>shares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46" w:type="dxa"/>
            <w:tcBorders/>
            <w:shd w:fill="64BFA6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  <w:t>J MOSES</w:t>
            </w:r>
          </w:p>
        </w:tc>
      </w:tr>
      <w:tr>
        <w:trPr/>
        <w:tc>
          <w:tcPr>
            <w:tcW w:w="1541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541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9" w:type="dxa"/>
            <w:vMerge w:val="restart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46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both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64BFA6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64BFA6"/>
                <w:sz w:val="14"/>
                <w:u w:val="none"/>
                <w:effect w:val="none"/>
              </w:rPr>
              <w:t>Key qualifications and expertise provided to our board:</w:t>
            </w:r>
          </w:p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Mr. Moses provides insight based on vast media experience and leadership history, including his roles as CEO of</w:t>
            </w: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UGO Networks, President of MTV Russia and President of BMG Interactive, and his deep understanding of the</w:t>
            </w: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interactive entertainment industry and its global opportunities.</w:t>
            </w:r>
          </w:p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Mr. Moses has spent the past 40 years collaborating with leading brands, companies, and figures across</w:t>
            </w:r>
            <w:r>
              <w:rPr>
                <w:caps w:val="false"/>
                <w:smallCaps w:val="false"/>
                <w:strike w:val="false"/>
                <w:dstrike w:val="false"/>
                <w:color w:val="18333C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 xml:space="preserve">sports, news, television, film, technology, gaming, and wagering. 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After an eight-year tenure at ABC Sports,</w:t>
            </w: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Mr. Moses moved into technology as President of BMG Games where he green-lit and developed the original</w:t>
            </w: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Grand Theft Auto. He then launched MTV Russia as its President, overseeing the first launch of a cable network</w:t>
            </w: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in Russia. Mr. Moses went on to co-found and lead UGO (Unified Gamers Online), managing its growth and</w:t>
            </w: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eventual sale to Hearst Magazines. Currently, Mr. Moses advises numerous venture-backed tech and media</w:t>
            </w: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companies and develops scripted TV programs as President of OptIn Studios. Mr. Moses is a graduate of</w:t>
            </w: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Princeton University and the Harvard Graduate School of Business Administration.</w:t>
            </w:r>
          </w:p>
        </w:tc>
      </w:tr>
      <w:tr>
        <w:trPr/>
        <w:tc>
          <w:tcPr>
            <w:tcW w:w="1541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9" w:type="dxa"/>
            <w:vMerge w:val="continue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46" w:type="dxa"/>
            <w:tcBorders>
              <w:bottom w:val="single" w:sz="2" w:space="0" w:color="8C8D8F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541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9" w:type="dxa"/>
            <w:vMerge w:val="continue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46" w:type="dxa"/>
            <w:tcBorders>
              <w:top w:val="single" w:sz="2" w:space="0" w:color="8C8D8F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541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9" w:type="dxa"/>
            <w:vMerge w:val="continue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46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64BFA6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64BFA6"/>
                <w:sz w:val="14"/>
                <w:u w:val="none"/>
                <w:effect w:val="none"/>
              </w:rPr>
              <w:t>Additional Public Directorships (current):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18333C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6"/>
              </w:rPr>
              <w:t>None</w:t>
            </w:r>
          </w:p>
        </w:tc>
      </w:tr>
      <w:tr>
        <w:trPr/>
        <w:tc>
          <w:tcPr>
            <w:tcW w:w="1541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9" w:type="dxa"/>
            <w:vMerge w:val="continue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46" w:type="dxa"/>
            <w:tcBorders>
              <w:bottom w:val="single" w:sz="2" w:space="0" w:color="8C8D8F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541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9" w:type="dxa"/>
            <w:vMerge w:val="continue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46" w:type="dxa"/>
            <w:tcBorders>
              <w:top w:val="single" w:sz="2" w:space="0" w:color="8C8D8F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541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9" w:type="dxa"/>
            <w:vMerge w:val="continue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46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both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64BFA6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64BFA6"/>
                <w:sz w:val="14"/>
                <w:u w:val="none"/>
                <w:effect w:val="none"/>
              </w:rPr>
              <w:t>Prior executive roles:</w:t>
            </w:r>
          </w:p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Mr. Moses was the founder, and from 1998 to 2007, the Chief Executive Officer, of UGO Networks, Inc., an</w:t>
            </w: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online publisher and affiliate network delivering information and entertainment to over 20 million gamers around</w:t>
            </w: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the world. He managed the sale of the company to the Hearst Corporation in 2007. Mr. Moses previously served</w:t>
            </w: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as the President of MTV Russia where he successfully oversaw the establishment of the Moscow-based</w:t>
            </w: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Network in 1998. Mr. Moses served as the President of BMG Interactive from 1993 to 1996, the former video</w:t>
            </w: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game and new technology divisions of BMG Entertainment, where he “green-lighted” a portfolio of 11 video</w:t>
            </w: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games including the original Grand Theft Auto. Mr. Moses has served as the Special Assistant to Roone Arledge,</w:t>
            </w: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the President of ABC Sports and News; as an Executive Producer on Stolen Babies, a made for TV movie for</w:t>
            </w: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ABC; and as Creator for New York News, a TV series for CBS.</w:t>
            </w:r>
          </w:p>
        </w:tc>
      </w:tr>
      <w:tr>
        <w:trPr/>
        <w:tc>
          <w:tcPr>
            <w:tcW w:w="1541" w:type="dxa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vMerge w:val="continue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46" w:type="dxa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0081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541"/>
        <w:gridCol w:w="109"/>
        <w:gridCol w:w="8431"/>
      </w:tblGrid>
      <w:tr>
        <w:trPr/>
        <w:tc>
          <w:tcPr>
            <w:tcW w:w="15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541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914400" cy="914400"/>
                  <wp:effectExtent l="0" t="0" r="0" b="0"/>
                  <wp:docPr id="100" name="Image100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0" name="Image100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4400" cy="914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99" w:name="i-100"/>
            <w:bookmarkEnd w:id="99"/>
          </w:p>
          <w:p>
            <w:pPr>
              <w:pStyle w:val="TableContents"/>
              <w:bidi w:val="0"/>
              <w:spacing w:lineRule="atLeast" w:line="150" w:before="0" w:after="0"/>
              <w:jc w:val="left"/>
              <w:rPr/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  <w:t>Age: 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B0295B"/>
                <w:sz w:val="15"/>
                <w:u w:val="none"/>
                <w:effect w:val="none"/>
              </w:rPr>
              <w:t>58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  <w:t>Director since: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B0295B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B0295B"/>
                <w:sz w:val="15"/>
                <w:u w:val="none"/>
                <w:effect w:val="none"/>
              </w:rPr>
              <w:t>March 2007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B0295B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B0295B"/>
                <w:sz w:val="15"/>
                <w:u w:val="none"/>
                <w:effect w:val="none"/>
              </w:rPr>
              <w:t>INDEPENDENT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B0295B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B0295B"/>
                <w:sz w:val="15"/>
                <w:u w:val="none"/>
                <w:effect w:val="none"/>
              </w:rPr>
              <w:t>DIRECTOR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5"/>
                <w:u w:val="none"/>
                <w:effect w:val="none"/>
              </w:rPr>
              <w:t>Committee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5"/>
                <w:u w:val="none"/>
                <w:effect w:val="none"/>
              </w:rPr>
              <w:t>Membership(s):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18333C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  <w:t xml:space="preserve">Compensation 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  <w:t>Committee (Chair)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  <w:t xml:space="preserve">Beneficial owner of 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sz w:val="24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  <w:t>65,495</w:t>
            </w:r>
            <w:r>
              <w:rPr>
                <w:caps w:val="false"/>
                <w:smallCaps w:val="false"/>
                <w:strike w:val="false"/>
                <w:dstrike w:val="false"/>
                <w:sz w:val="24"/>
                <w:u w:val="none"/>
                <w:effect w:val="none"/>
              </w:rPr>
              <w:t> 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  <w:t>shares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31" w:type="dxa"/>
            <w:tcBorders/>
            <w:shd w:fill="64BFA6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  <w:t>MICHAEL SHERESKY</w:t>
            </w:r>
          </w:p>
        </w:tc>
      </w:tr>
      <w:tr>
        <w:trPr/>
        <w:tc>
          <w:tcPr>
            <w:tcW w:w="1541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541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9" w:type="dxa"/>
            <w:vMerge w:val="restart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31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both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64BFA6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64BFA6"/>
                <w:sz w:val="14"/>
                <w:u w:val="none"/>
                <w:effect w:val="none"/>
              </w:rPr>
              <w:t>Key qualifications and expertise provided to our board:</w:t>
            </w:r>
          </w:p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6"/>
                <w:u w:val="single"/>
              </w:rPr>
              <w:t>Mr. Sheresky’s entertainment experience as a talent agent is an important asset to the Board of Directors,</w:t>
            </w:r>
            <w:r>
              <w:rPr>
                <w:caps w:val="false"/>
                <w:smallCaps w:val="false"/>
                <w:u w:val="singl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6"/>
                <w:u w:val="single"/>
              </w:rPr>
              <w:t>including his particularly keen insight into negotiations with, and the development and compensation of creative</w:t>
            </w:r>
            <w:r>
              <w:rPr>
                <w:caps w:val="false"/>
                <w:smallCaps w:val="false"/>
                <w:u w:val="singl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6"/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6"/>
                <w:u w:val="single"/>
              </w:rPr>
              <w:t>talent and of management.</w:t>
            </w:r>
          </w:p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Mr. Sheresky is a partner at United Talent Agency, where he has served as a motion picture talent agent</w:t>
            </w:r>
            <w:r>
              <w:rPr>
                <w:caps w:val="false"/>
                <w:smallCaps w:val="false"/>
                <w:strike w:val="false"/>
                <w:dstrike w:val="false"/>
                <w:color w:val="18333C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since June 2009.</w:t>
            </w:r>
            <w:r>
              <w:rPr>
                <w:caps w:val="false"/>
                <w:smallCaps w:val="false"/>
                <w:strike w:val="false"/>
                <w:dstrike w:val="false"/>
                <w:color w:val="15333B"/>
                <w:u w:val="none"/>
                <w:effect w:val="none"/>
              </w:rPr>
              <w:t xml:space="preserve"> 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Mr. Sheresky is responsible for structuring projects and deals in the areas of motion picture</w:t>
            </w: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and television development, production and distribution. Mr. Sheresky received a BA from Vassar College and an</w:t>
            </w: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MBA from Harvard Business School.</w:t>
            </w:r>
          </w:p>
        </w:tc>
      </w:tr>
      <w:tr>
        <w:trPr/>
        <w:tc>
          <w:tcPr>
            <w:tcW w:w="1541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9" w:type="dxa"/>
            <w:vMerge w:val="continue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31" w:type="dxa"/>
            <w:tcBorders>
              <w:bottom w:val="single" w:sz="2" w:space="0" w:color="8C8D8F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541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9" w:type="dxa"/>
            <w:vMerge w:val="continue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31" w:type="dxa"/>
            <w:tcBorders>
              <w:top w:val="single" w:sz="2" w:space="0" w:color="8C8D8F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541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9" w:type="dxa"/>
            <w:vMerge w:val="continue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31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64BFA6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64BFA6"/>
                <w:sz w:val="14"/>
                <w:u w:val="none"/>
                <w:effect w:val="none"/>
              </w:rPr>
              <w:t>Additional Public Directorships (current):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18333C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6"/>
              </w:rPr>
              <w:t>None</w:t>
            </w:r>
          </w:p>
        </w:tc>
      </w:tr>
      <w:tr>
        <w:trPr/>
        <w:tc>
          <w:tcPr>
            <w:tcW w:w="1541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9" w:type="dxa"/>
            <w:vMerge w:val="continue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31" w:type="dxa"/>
            <w:tcBorders>
              <w:bottom w:val="single" w:sz="2" w:space="0" w:color="8C8D8F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541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9" w:type="dxa"/>
            <w:vMerge w:val="continue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31" w:type="dxa"/>
            <w:tcBorders>
              <w:top w:val="single" w:sz="2" w:space="0" w:color="8C8D8F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541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9" w:type="dxa"/>
            <w:vMerge w:val="continue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31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both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64BFA6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64BFA6"/>
                <w:sz w:val="14"/>
                <w:u w:val="none"/>
                <w:effect w:val="none"/>
              </w:rPr>
              <w:t>Prior professional roles:</w:t>
            </w:r>
          </w:p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From 1992 through 1995, and then from 1997 through May 2009, Mr. Sheresky held a number of positions at the</w:t>
            </w: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William Morris Agency, a talent agency, most recently Senior Vice President in its Motion Picture Department.</w:t>
            </w: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During that time, he represented authors, journalists, screenwriters, directors, producers and actors in the motion</w:t>
            </w: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picture and television businesses.</w:t>
            </w:r>
          </w:p>
        </w:tc>
      </w:tr>
      <w:tr>
        <w:trPr/>
        <w:tc>
          <w:tcPr>
            <w:tcW w:w="1541" w:type="dxa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vMerge w:val="continue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31" w:type="dxa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4982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4651"/>
        <w:gridCol w:w="331"/>
      </w:tblGrid>
      <w:tr>
        <w:trPr/>
        <w:tc>
          <w:tcPr>
            <w:tcW w:w="46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651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sz w:val="24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TAKE-TWO INTERACTIVE SOFTWARE, INC.   |   2026</w:t>
            </w:r>
            <w:r>
              <w:rPr>
                <w:caps w:val="false"/>
                <w:smallCaps w:val="false"/>
                <w:strike w:val="false"/>
                <w:dstrike w:val="false"/>
                <w:color w:val="18333C"/>
                <w:sz w:val="24"/>
                <w:u w:val="none"/>
                <w:effect w:val="none"/>
              </w:rPr>
              <w:t xml:space="preserve"> 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 xml:space="preserve">Proxy Statement </w:t>
            </w:r>
          </w:p>
        </w:tc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13</w:t>
            </w:r>
          </w:p>
        </w:tc>
      </w:tr>
    </w:tbl>
    <w:p>
      <w:pPr>
        <w:pStyle w:val="TextBody"/>
        <w:bidi w:val="0"/>
        <w:spacing w:lineRule="atLeast" w:line="142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3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3"/>
          <w:u w:val="none"/>
          <w:effect w:val="none"/>
        </w:rPr>
        <w:t>PROPOSAL 1: ELECTION OF DIRECTORS</w:t>
      </w:r>
    </w:p>
    <w:tbl>
      <w:tblPr>
        <w:tblW w:w="10111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541"/>
        <w:gridCol w:w="109"/>
        <w:gridCol w:w="8461"/>
      </w:tblGrid>
      <w:tr>
        <w:trPr/>
        <w:tc>
          <w:tcPr>
            <w:tcW w:w="15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541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914400" cy="914400"/>
                  <wp:effectExtent l="0" t="0" r="0" b="0"/>
                  <wp:docPr id="101" name="Image10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1" name="Image10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4400" cy="914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100" w:name="i-101"/>
            <w:bookmarkEnd w:id="100"/>
          </w:p>
          <w:p>
            <w:pPr>
              <w:pStyle w:val="TableContents"/>
              <w:bidi w:val="0"/>
              <w:spacing w:lineRule="atLeast" w:line="150" w:before="0" w:after="0"/>
              <w:jc w:val="left"/>
              <w:rPr/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  <w:t>Age: 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B0295B"/>
                <w:sz w:val="15"/>
                <w:u w:val="none"/>
                <w:effect w:val="none"/>
              </w:rPr>
              <w:t>58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  <w:t>Director since: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B0295B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B0295B"/>
                <w:sz w:val="15"/>
                <w:u w:val="none"/>
                <w:effect w:val="none"/>
              </w:rPr>
              <w:t>May 2022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B0295B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B0295B"/>
                <w:sz w:val="15"/>
                <w:u w:val="none"/>
                <w:effect w:val="none"/>
              </w:rPr>
              <w:t>INDEPENDENT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B0295B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B0295B"/>
                <w:sz w:val="15"/>
                <w:u w:val="none"/>
                <w:effect w:val="none"/>
              </w:rPr>
              <w:t>DIRECTOR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5"/>
                <w:u w:val="none"/>
                <w:effect w:val="none"/>
              </w:rPr>
              <w:t>Committee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5"/>
                <w:u w:val="none"/>
                <w:effect w:val="none"/>
              </w:rPr>
              <w:t>Membership(s):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18333C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  <w:t>Audit Committee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18333C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  <w:t xml:space="preserve">Corporate 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  <w:t xml:space="preserve">Governance 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  <w:t>Committee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  <w:t xml:space="preserve">Beneficial owner of 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sz w:val="24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  <w:t>12,237</w:t>
            </w:r>
            <w:r>
              <w:rPr>
                <w:caps w:val="false"/>
                <w:smallCaps w:val="false"/>
                <w:strike w:val="false"/>
                <w:dstrike w:val="false"/>
                <w:sz w:val="24"/>
                <w:u w:val="none"/>
                <w:effect w:val="none"/>
              </w:rPr>
              <w:t> 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  <w:t>shares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61" w:type="dxa"/>
            <w:tcBorders/>
            <w:shd w:fill="64BFA6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  <w:t>ELLEN SIMINOFF</w:t>
            </w:r>
          </w:p>
        </w:tc>
      </w:tr>
      <w:tr>
        <w:trPr/>
        <w:tc>
          <w:tcPr>
            <w:tcW w:w="1541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541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9" w:type="dxa"/>
            <w:vMerge w:val="restart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61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both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64BFA6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64BFA6"/>
                <w:sz w:val="14"/>
                <w:u w:val="none"/>
                <w:effect w:val="none"/>
              </w:rPr>
              <w:t>Key qualifications and expertise provided to our board:</w:t>
            </w:r>
          </w:p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6"/>
                <w:u w:val="single"/>
              </w:rPr>
              <w:t>Ms. Siminoff was selected to serve on the Board of Directors due to her breadth of professional experiences in</w:t>
            </w:r>
            <w:r>
              <w:rPr>
                <w:caps w:val="false"/>
                <w:smallCaps w:val="false"/>
                <w:u w:val="singl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6"/>
                <w:u w:val="single"/>
              </w:rPr>
              <w:t>emerging growth and technology companies, her backgrounds in marketing and advertising, her knowledge of</w:t>
            </w:r>
            <w:r>
              <w:rPr>
                <w:caps w:val="false"/>
                <w:smallCaps w:val="false"/>
                <w:u w:val="singl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6"/>
                <w:u w:val="single"/>
              </w:rPr>
              <w:t>consumer trends and expertise in corporate and business development, her governance experience as a director</w:t>
            </w:r>
            <w:r>
              <w:rPr>
                <w:caps w:val="false"/>
                <w:smallCaps w:val="false"/>
                <w:u w:val="singl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6"/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6"/>
                <w:u w:val="single"/>
              </w:rPr>
              <w:t>of several public companies, and her success in a variety of industries.</w:t>
            </w:r>
          </w:p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03A38"/>
                <w:sz w:val="16"/>
                <w:u w:val="none"/>
                <w:effect w:val="none"/>
              </w:rPr>
              <w:t>Ms. Siminoff is a long-tenured media and technology executive and board member.</w:t>
            </w:r>
            <w:r>
              <w:rPr>
                <w:caps w:val="false"/>
                <w:smallCaps w:val="false"/>
                <w:u w:val="single"/>
              </w:rPr>
              <w:t xml:space="preserve"> 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6"/>
                <w:u w:val="single"/>
              </w:rPr>
              <w:t>From 2007 to 2018,</w:t>
            </w:r>
            <w:r>
              <w:rPr>
                <w:caps w:val="false"/>
                <w:smallCaps w:val="false"/>
                <w:u w:val="singl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6"/>
                <w:u w:val="single"/>
              </w:rPr>
              <w:t>she was President and CEO of Shmoop University, an educational publishing company which has built millions</w:t>
            </w:r>
            <w:r>
              <w:rPr>
                <w:caps w:val="false"/>
                <w:smallCaps w:val="false"/>
                <w:u w:val="singl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6"/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6"/>
                <w:u w:val="single"/>
              </w:rPr>
              <w:t>of units of content.</w:t>
            </w:r>
          </w:p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6"/>
                <w:u w:val="single"/>
              </w:rPr>
              <w:t>Ms. Siminoff served as President and CEO of Efficient Frontier, a pioneer in the field of dynamic Search Engine</w:t>
            </w:r>
            <w:r>
              <w:rPr>
                <w:caps w:val="false"/>
                <w:smallCaps w:val="false"/>
                <w:u w:val="singl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6"/>
                <w:u w:val="single"/>
              </w:rPr>
              <w:t>Marketing (SEM) management services (sold to Adobe). Prior to Efficient Frontier, Ms. Siminoff spent six years</w:t>
            </w:r>
            <w:r>
              <w:rPr>
                <w:caps w:val="false"/>
                <w:smallCaps w:val="false"/>
                <w:u w:val="singl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6"/>
                <w:u w:val="single"/>
              </w:rPr>
              <w:t>as a founding executive at Yahoo!. During her tenure, she led Business Development (Vice President, Business</w:t>
            </w:r>
            <w:r>
              <w:rPr>
                <w:caps w:val="false"/>
                <w:smallCaps w:val="false"/>
                <w:u w:val="singl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6"/>
                <w:u w:val="single"/>
              </w:rPr>
              <w:t>Development and Planning), Corporate Development (Senior Vice President, Corporate Development) and ran</w:t>
            </w:r>
            <w:r>
              <w:rPr>
                <w:caps w:val="false"/>
                <w:smallCaps w:val="false"/>
                <w:u w:val="singl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6"/>
                <w:u w:val="single"/>
              </w:rPr>
              <w:t>the Small Business and Entertainment Business units. Ms. Siminoff received a BA from Princeton University and</w:t>
            </w:r>
            <w:r>
              <w:rPr>
                <w:caps w:val="false"/>
                <w:smallCaps w:val="false"/>
                <w:u w:val="singl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6"/>
                <w:u w:val="single"/>
              </w:rPr>
              <w:t>an MBA from Stanford University. Ms. Siminoff received a Master Liberal Arts Extension in Software Engineering</w:t>
            </w:r>
            <w:r>
              <w:rPr>
                <w:caps w:val="false"/>
                <w:smallCaps w:val="false"/>
                <w:u w:val="singl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6"/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6"/>
                <w:u w:val="single"/>
              </w:rPr>
              <w:t>from Harvard University Extension School in 2023.</w:t>
            </w:r>
          </w:p>
        </w:tc>
      </w:tr>
      <w:tr>
        <w:trPr/>
        <w:tc>
          <w:tcPr>
            <w:tcW w:w="1541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9" w:type="dxa"/>
            <w:vMerge w:val="continue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1" w:type="dxa"/>
            <w:tcBorders>
              <w:bottom w:val="single" w:sz="2" w:space="0" w:color="8C8D8F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541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9" w:type="dxa"/>
            <w:vMerge w:val="continue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1" w:type="dxa"/>
            <w:tcBorders>
              <w:top w:val="single" w:sz="2" w:space="0" w:color="8C8D8F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541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9" w:type="dxa"/>
            <w:vMerge w:val="continue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1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64BFA6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64BFA6"/>
                <w:sz w:val="14"/>
                <w:u w:val="none"/>
                <w:effect w:val="none"/>
              </w:rPr>
              <w:t>Additional Public Directorships (current):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18333C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6"/>
              </w:rPr>
              <w:t>Commerce.com, Inc.</w:t>
            </w:r>
          </w:p>
        </w:tc>
      </w:tr>
      <w:tr>
        <w:trPr/>
        <w:tc>
          <w:tcPr>
            <w:tcW w:w="1541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9" w:type="dxa"/>
            <w:vMerge w:val="continue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1" w:type="dxa"/>
            <w:tcBorders>
              <w:bottom w:val="single" w:sz="2" w:space="0" w:color="8C8D8F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541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9" w:type="dxa"/>
            <w:vMerge w:val="continue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1" w:type="dxa"/>
            <w:tcBorders>
              <w:top w:val="single" w:sz="2" w:space="0" w:color="8C8D8F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541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9" w:type="dxa"/>
            <w:vMerge w:val="continue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1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both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64BFA6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64BFA6"/>
                <w:sz w:val="14"/>
                <w:u w:val="none"/>
                <w:effect w:val="none"/>
              </w:rPr>
              <w:t>Other board experience:</w:t>
            </w:r>
          </w:p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Among other boards and advisory relationships, she currently serves on the board of Commerce.com, Inc., a</w:t>
            </w: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leading SAAS ecommerce platform, and the board of Verifone, a privately-held pre-eminent global payments</w:t>
            </w: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platform. Ms. Siminoff previously served as a member of the board of directors of Zynga Inc. from 2012 to May</w:t>
            </w: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2022, when we acquired Zynga. Until April 2022, Ms. Siminoff served on the board of Discovery Education, a</w:t>
            </w: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global leader in standards-aligned digital curriculum resources and professional learning for K-12 classrooms,</w:t>
            </w: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and she currently serves on the board of Follett, a privately-held leading provider of educational technology,</w:t>
            </w: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services, and print and digital content. She has served as a member of the Advisory Board of Stanford</w:t>
            </w: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University’s Graduate School of Business and served on the President’s Advisory Council of Princeton</w:t>
            </w: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University. Ms. Siminoff serves on the Board of Overseers at the Hoover Institution as of September 2022. Other</w:t>
            </w: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prior board experiences include SolarWinds, US Auto Parts Network, Journal Communications, and Mozilla</w:t>
            </w: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Corporation, the developers of Firefox browsers. In 2005 she was one of eight industry professionals named</w:t>
            </w: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>“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Masters of Information” by Forbes magazine.</w:t>
            </w:r>
          </w:p>
        </w:tc>
      </w:tr>
      <w:tr>
        <w:trPr/>
        <w:tc>
          <w:tcPr>
            <w:tcW w:w="1541" w:type="dxa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vMerge w:val="continue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1" w:type="dxa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9961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541"/>
        <w:gridCol w:w="109"/>
        <w:gridCol w:w="8311"/>
      </w:tblGrid>
      <w:tr>
        <w:trPr/>
        <w:tc>
          <w:tcPr>
            <w:tcW w:w="15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1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541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914400" cy="914400"/>
                  <wp:effectExtent l="0" t="0" r="0" b="0"/>
                  <wp:docPr id="102" name="Image10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" name="Image10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4400" cy="914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101" w:name="i-102"/>
            <w:bookmarkEnd w:id="101"/>
          </w:p>
          <w:p>
            <w:pPr>
              <w:pStyle w:val="TableContents"/>
              <w:bidi w:val="0"/>
              <w:spacing w:lineRule="atLeast" w:line="150" w:before="0" w:after="0"/>
              <w:jc w:val="left"/>
              <w:rPr/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  <w:t>Age: 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B0295B"/>
                <w:sz w:val="15"/>
                <w:u w:val="none"/>
                <w:effect w:val="none"/>
              </w:rPr>
              <w:t>64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  <w:t>Director since: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B0295B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B0295B"/>
                <w:sz w:val="15"/>
                <w:u w:val="none"/>
                <w:effect w:val="none"/>
              </w:rPr>
              <w:t>March 2014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B0295B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B0295B"/>
                <w:sz w:val="15"/>
                <w:u w:val="none"/>
                <w:effect w:val="none"/>
              </w:rPr>
              <w:t>INDEPENDENT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B0295B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B0295B"/>
                <w:sz w:val="15"/>
                <w:u w:val="none"/>
                <w:effect w:val="none"/>
              </w:rPr>
              <w:t>DIRECTOR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5"/>
                <w:u w:val="none"/>
                <w:effect w:val="none"/>
              </w:rPr>
              <w:t>Committee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5"/>
                <w:u w:val="none"/>
                <w:effect w:val="none"/>
              </w:rPr>
              <w:t>Membership(s):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18333C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  <w:t xml:space="preserve">Audit Committee 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  <w:t>(Chair)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  <w:t xml:space="preserve">Technology Risk 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  <w:t>Committee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  <w:t xml:space="preserve">Beneficial owner of 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sz w:val="24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  <w:t>32,122</w:t>
            </w:r>
            <w:r>
              <w:rPr>
                <w:caps w:val="false"/>
                <w:smallCaps w:val="false"/>
                <w:strike w:val="false"/>
                <w:dstrike w:val="false"/>
                <w:sz w:val="24"/>
                <w:u w:val="none"/>
                <w:effect w:val="none"/>
              </w:rPr>
              <w:t> 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  <w:t>shares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11" w:type="dxa"/>
            <w:tcBorders/>
            <w:shd w:fill="64BFA6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  <w:t>SUSAN TOLSON</w:t>
            </w:r>
          </w:p>
        </w:tc>
      </w:tr>
      <w:tr>
        <w:trPr/>
        <w:tc>
          <w:tcPr>
            <w:tcW w:w="1541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1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541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9" w:type="dxa"/>
            <w:vMerge w:val="restart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11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both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5FC0B9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5FC0B9"/>
                <w:sz w:val="14"/>
                <w:u w:val="none"/>
                <w:effect w:val="none"/>
              </w:rPr>
              <w:t>Key qualifications and expertise provided to our board:</w:t>
            </w:r>
          </w:p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6"/>
                <w:u w:val="single"/>
              </w:rPr>
              <w:t>Ms. Tolson brings to the Board of Directors significant experience in entertainment and financial/investment</w:t>
            </w:r>
            <w:r>
              <w:rPr>
                <w:caps w:val="false"/>
                <w:smallCaps w:val="false"/>
                <w:u w:val="singl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6"/>
                <w:u w:val="single"/>
              </w:rPr>
              <w:t>matters from her previous positions, together with her existing current service as a director of both for profit and</w:t>
            </w:r>
            <w:r>
              <w:rPr>
                <w:caps w:val="false"/>
                <w:smallCaps w:val="false"/>
                <w:u w:val="singl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6"/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6"/>
                <w:u w:val="single"/>
              </w:rPr>
              <w:t>nonprofit organizations.</w:t>
            </w:r>
          </w:p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Ms. Tolson is a financial executive with more than 20 years of experience in the financial services</w:t>
            </w:r>
            <w:r>
              <w:rPr>
                <w:caps w:val="false"/>
                <w:smallCaps w:val="false"/>
                <w:strike w:val="false"/>
                <w:dstrike w:val="false"/>
                <w:color w:val="18333C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industry. Ms. Tolson worked at Capital Research and Management Company and Capital Research</w:t>
            </w:r>
            <w:r>
              <w:rPr>
                <w:caps w:val="false"/>
                <w:smallCaps w:val="false"/>
                <w:strike w:val="false"/>
                <w:dstrike w:val="false"/>
                <w:color w:val="18333C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Company,</w:t>
            </w:r>
            <w:r>
              <w:rPr>
                <w:caps w:val="false"/>
                <w:smallCaps w:val="false"/>
                <w:u w:val="single"/>
              </w:rPr>
              <w:t> 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6"/>
                <w:u w:val="single"/>
              </w:rPr>
              <w:t>subsidiaries of The Capital Group Companies, Inc., from 1990 to 2010. She served in various</w:t>
            </w:r>
            <w:r>
              <w:rPr>
                <w:caps w:val="false"/>
                <w:smallCaps w:val="false"/>
                <w:u w:val="singl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6"/>
                <w:u w:val="single"/>
              </w:rPr>
              <w:t>capacities, including Senior Vice President and Portfolio Manager. Before joining Capital Research, Ms. Tolson</w:t>
            </w:r>
            <w:r>
              <w:rPr>
                <w:caps w:val="false"/>
                <w:smallCaps w:val="false"/>
                <w:u w:val="singl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6"/>
                <w:u w:val="single"/>
              </w:rPr>
              <w:t>was an Investment Officer at Aetna Investment Management Company, making private investments in media</w:t>
            </w:r>
            <w:r>
              <w:rPr>
                <w:caps w:val="false"/>
                <w:smallCaps w:val="false"/>
                <w:u w:val="singl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6"/>
                <w:u w:val="single"/>
              </w:rPr>
              <w:t>and entertainment companies. Ms. Tolson received a BA from Smith College and an MBA from Harvard</w:t>
            </w:r>
            <w:r>
              <w:rPr>
                <w:caps w:val="false"/>
                <w:smallCaps w:val="false"/>
                <w:u w:val="singl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6"/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6"/>
                <w:u w:val="single"/>
              </w:rPr>
              <w:t>Business School.</w:t>
            </w:r>
          </w:p>
        </w:tc>
      </w:tr>
      <w:tr>
        <w:trPr/>
        <w:tc>
          <w:tcPr>
            <w:tcW w:w="1541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9" w:type="dxa"/>
            <w:vMerge w:val="continue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1" w:type="dxa"/>
            <w:tcBorders>
              <w:bottom w:val="single" w:sz="2" w:space="0" w:color="8C8D8F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541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9" w:type="dxa"/>
            <w:vMerge w:val="continue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1" w:type="dxa"/>
            <w:tcBorders>
              <w:top w:val="single" w:sz="2" w:space="0" w:color="8C8D8F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541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9" w:type="dxa"/>
            <w:vMerge w:val="continue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1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64BFA6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64BFA6"/>
                <w:sz w:val="14"/>
                <w:u w:val="none"/>
                <w:effect w:val="none"/>
              </w:rPr>
              <w:t>Additional Public Directorships (current):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18333C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6"/>
              </w:rPr>
              <w:t>OUTFRONT Media Inc.</w:t>
            </w:r>
          </w:p>
        </w:tc>
      </w:tr>
      <w:tr>
        <w:trPr/>
        <w:tc>
          <w:tcPr>
            <w:tcW w:w="1541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9" w:type="dxa"/>
            <w:vMerge w:val="continue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1" w:type="dxa"/>
            <w:tcBorders>
              <w:bottom w:val="single" w:sz="2" w:space="0" w:color="8C8D8F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541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9" w:type="dxa"/>
            <w:vMerge w:val="continue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1" w:type="dxa"/>
            <w:tcBorders>
              <w:top w:val="single" w:sz="2" w:space="0" w:color="8C8D8F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541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9" w:type="dxa"/>
            <w:vMerge w:val="continue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1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both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64BFA6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64BFA6"/>
                <w:sz w:val="14"/>
                <w:u w:val="none"/>
                <w:effect w:val="none"/>
              </w:rPr>
              <w:t>Other board experience:</w:t>
            </w:r>
          </w:p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Ms. Tolson was a member of the board and audit committee of Worldline E-Payments Services until June 2023;</w:t>
            </w: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a member of the board and audit committee of Groupe Lagardère until July 2021; a member of the board and</w:t>
            </w: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audit committee of the American Cinematheque until May 2018; a trustee and member of the business affairs</w:t>
            </w: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committee of The American University of Paris until 2014; and a member of the board and audit committee of</w:t>
            </w: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American Media until 2014.</w:t>
            </w:r>
          </w:p>
        </w:tc>
      </w:tr>
      <w:tr>
        <w:trPr/>
        <w:tc>
          <w:tcPr>
            <w:tcW w:w="1541" w:type="dxa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vMerge w:val="continue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1" w:type="dxa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493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301"/>
        <w:gridCol w:w="4636"/>
      </w:tblGrid>
      <w:tr>
        <w:trPr/>
        <w:tc>
          <w:tcPr>
            <w:tcW w:w="30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0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14</w:t>
            </w:r>
          </w:p>
        </w:tc>
        <w:tc>
          <w:tcPr>
            <w:tcW w:w="4636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sz w:val="24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TAKE-TWO INTERACTIVE SOFTWARE, INC.   |   2026</w:t>
            </w:r>
            <w:r>
              <w:rPr>
                <w:caps w:val="false"/>
                <w:smallCaps w:val="false"/>
                <w:strike w:val="false"/>
                <w:dstrike w:val="false"/>
                <w:color w:val="18333C"/>
                <w:sz w:val="24"/>
                <w:u w:val="none"/>
                <w:effect w:val="none"/>
              </w:rPr>
              <w:t xml:space="preserve"> 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Proxy Statement</w:t>
            </w:r>
          </w:p>
        </w:tc>
      </w:tr>
    </w:tbl>
    <w:p>
      <w:pPr>
        <w:pStyle w:val="TextBody"/>
        <w:bidi w:val="0"/>
        <w:spacing w:lineRule="atLeast" w:line="142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3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3"/>
          <w:u w:val="none"/>
          <w:effect w:val="none"/>
        </w:rPr>
        <w:t>PROPOSAL 1: ELECTION OF DIRECTORS</w:t>
      </w:r>
    </w:p>
    <w:tbl>
      <w:tblPr>
        <w:tblW w:w="10051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541"/>
        <w:gridCol w:w="109"/>
        <w:gridCol w:w="8401"/>
      </w:tblGrid>
      <w:tr>
        <w:trPr/>
        <w:tc>
          <w:tcPr>
            <w:tcW w:w="15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0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541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914400" cy="914400"/>
                  <wp:effectExtent l="0" t="0" r="0" b="0"/>
                  <wp:docPr id="103" name="Image103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3" name="Image103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4400" cy="914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102" w:name="i-103"/>
            <w:bookmarkEnd w:id="102"/>
          </w:p>
          <w:p>
            <w:pPr>
              <w:pStyle w:val="TableContents"/>
              <w:bidi w:val="0"/>
              <w:spacing w:lineRule="atLeast" w:line="150" w:before="0" w:after="0"/>
              <w:jc w:val="left"/>
              <w:rPr/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  <w:t>Age: 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B0295B"/>
                <w:sz w:val="15"/>
                <w:u w:val="none"/>
                <w:effect w:val="none"/>
              </w:rPr>
              <w:t>67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  <w:t>Director since: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B0295B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B0295B"/>
                <w:sz w:val="15"/>
                <w:u w:val="none"/>
                <w:effect w:val="none"/>
              </w:rPr>
              <w:t>May 2018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B0295B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B0295B"/>
                <w:sz w:val="15"/>
                <w:u w:val="none"/>
                <w:effect w:val="none"/>
              </w:rPr>
              <w:t>INDEPENDENT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B0295B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B0295B"/>
                <w:sz w:val="15"/>
                <w:u w:val="none"/>
                <w:effect w:val="none"/>
              </w:rPr>
              <w:t>DIRECTOR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5"/>
                <w:u w:val="none"/>
                <w:effect w:val="none"/>
              </w:rPr>
              <w:t>Committee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5"/>
                <w:u w:val="none"/>
                <w:effect w:val="none"/>
              </w:rPr>
              <w:t>Membership(s):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18333C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  <w:t>Audit Committee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  <w:t xml:space="preserve">Beneficial owner of 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sz w:val="24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  <w:t>92,347</w:t>
            </w:r>
            <w:r>
              <w:rPr>
                <w:caps w:val="false"/>
                <w:smallCaps w:val="false"/>
                <w:strike w:val="false"/>
                <w:dstrike w:val="false"/>
                <w:sz w:val="24"/>
                <w:u w:val="none"/>
                <w:effect w:val="none"/>
              </w:rPr>
              <w:t> 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  <w:t>shares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01" w:type="dxa"/>
            <w:tcBorders/>
            <w:shd w:fill="64BFA6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  <w:t>PAUL VIERA</w:t>
            </w:r>
          </w:p>
        </w:tc>
      </w:tr>
      <w:tr>
        <w:trPr/>
        <w:tc>
          <w:tcPr>
            <w:tcW w:w="1541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0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541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9" w:type="dxa"/>
            <w:vMerge w:val="restart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01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both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64BFA6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64BFA6"/>
                <w:sz w:val="14"/>
                <w:u w:val="none"/>
                <w:effect w:val="none"/>
              </w:rPr>
              <w:t>Key qualifications and expertise provided to our board:</w:t>
            </w:r>
          </w:p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Mr. Viera brings to the Board of Directors proven leadership skills, vast business experience and</w:t>
            </w: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financial acumen.</w:t>
            </w:r>
          </w:p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Mr. Viera is the Founder and Chief Executive Officer of Earnest Partners, a global investment firm</w:t>
            </w:r>
            <w:r>
              <w:rPr>
                <w:caps w:val="false"/>
                <w:smallCaps w:val="false"/>
                <w:strike w:val="false"/>
                <w:dstrike w:val="false"/>
                <w:color w:val="18333C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responsible for overseeing over $20 billion for municipalities, states, corporations, endowments, and</w:t>
            </w:r>
            <w:r>
              <w:rPr>
                <w:caps w:val="false"/>
                <w:smallCaps w:val="false"/>
                <w:strike w:val="false"/>
                <w:dstrike w:val="false"/>
                <w:color w:val="18333C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universities.</w:t>
            </w:r>
            <w:r>
              <w:rPr>
                <w:caps w:val="false"/>
                <w:smallCaps w:val="false"/>
                <w:u w:val="single"/>
              </w:rPr>
              <w:t> 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6"/>
                <w:u w:val="single"/>
              </w:rPr>
              <w:t>Prior to founding Earnest Partners in 1998, Mr. Viera was a Vice President at Bankers Trust in both</w:t>
            </w:r>
            <w:r>
              <w:rPr>
                <w:caps w:val="false"/>
                <w:smallCaps w:val="false"/>
                <w:u w:val="singl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6"/>
                <w:u w:val="single"/>
              </w:rPr>
              <w:t>New York and London and later joined Invesco, where he became a global partner and senior member of its</w:t>
            </w:r>
            <w:r>
              <w:rPr>
                <w:caps w:val="false"/>
                <w:smallCaps w:val="false"/>
                <w:u w:val="singl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6"/>
                <w:u w:val="single"/>
              </w:rPr>
              <w:t>investment team. Mr. Viera received a BA from the University of Michigan and an MBA from Harvard</w:t>
            </w:r>
            <w:r>
              <w:rPr>
                <w:caps w:val="false"/>
                <w:smallCaps w:val="false"/>
                <w:u w:val="singl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6"/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6"/>
                <w:u w:val="single"/>
              </w:rPr>
              <w:t>Business School.</w:t>
            </w:r>
          </w:p>
        </w:tc>
      </w:tr>
      <w:tr>
        <w:trPr/>
        <w:tc>
          <w:tcPr>
            <w:tcW w:w="1541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9" w:type="dxa"/>
            <w:vMerge w:val="continue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01" w:type="dxa"/>
            <w:tcBorders>
              <w:bottom w:val="single" w:sz="2" w:space="0" w:color="8C8D8F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541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9" w:type="dxa"/>
            <w:vMerge w:val="continue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01" w:type="dxa"/>
            <w:tcBorders>
              <w:top w:val="single" w:sz="2" w:space="0" w:color="8C8D8F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541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9" w:type="dxa"/>
            <w:vMerge w:val="continue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01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64BFA6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64BFA6"/>
                <w:sz w:val="14"/>
                <w:u w:val="none"/>
                <w:effect w:val="none"/>
              </w:rPr>
              <w:t>Additional Public Directorships (current):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18333C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6"/>
              </w:rPr>
              <w:t>None</w:t>
            </w:r>
          </w:p>
        </w:tc>
      </w:tr>
      <w:tr>
        <w:trPr/>
        <w:tc>
          <w:tcPr>
            <w:tcW w:w="1541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9" w:type="dxa"/>
            <w:vMerge w:val="continue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01" w:type="dxa"/>
            <w:tcBorders>
              <w:bottom w:val="single" w:sz="2" w:space="0" w:color="8C8D8F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541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9" w:type="dxa"/>
            <w:vMerge w:val="continue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01" w:type="dxa"/>
            <w:tcBorders>
              <w:top w:val="single" w:sz="2" w:space="0" w:color="8C8D8F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541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9" w:type="dxa"/>
            <w:vMerge w:val="continue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01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both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64BFA6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64BFA6"/>
                <w:sz w:val="14"/>
                <w:u w:val="none"/>
                <w:effect w:val="none"/>
              </w:rPr>
              <w:t>Other board experience:</w:t>
            </w:r>
          </w:p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Mr. Viera serves as a Trustee of the Woodruff Arts Center in Atlanta, Georgia and as a member of its investment</w:t>
            </w: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committee. He is also a member of the boards of directors of CBH Electronic Research Ltd., the board of</w:t>
            </w: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directors of DeepCare, the Board of Dean’s Advisors for Harvard Business School, the Council on Foreign</w:t>
            </w: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Relations, the Carter Center Board of Councilors, the National Center for Human &amp; Civil Rights, and the</w:t>
            </w: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University of Michigan School of Information External Advisory Board.</w:t>
            </w:r>
          </w:p>
        </w:tc>
      </w:tr>
      <w:tr>
        <w:trPr/>
        <w:tc>
          <w:tcPr>
            <w:tcW w:w="1541" w:type="dxa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vMerge w:val="continue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01" w:type="dxa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020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665"/>
        <w:gridCol w:w="109"/>
        <w:gridCol w:w="8431"/>
      </w:tblGrid>
      <w:tr>
        <w:trPr/>
        <w:tc>
          <w:tcPr>
            <w:tcW w:w="166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665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914400" cy="914400"/>
                  <wp:effectExtent l="0" t="0" r="0" b="0"/>
                  <wp:docPr id="104" name="Image104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4" name="Image104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4400" cy="914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103" w:name="i-104"/>
            <w:bookmarkEnd w:id="103"/>
          </w:p>
          <w:p>
            <w:pPr>
              <w:pStyle w:val="TableContents"/>
              <w:bidi w:val="0"/>
              <w:spacing w:lineRule="atLeast" w:line="150" w:before="0" w:after="0"/>
              <w:jc w:val="left"/>
              <w:rPr/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  <w:t>Age: 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B0295B"/>
                <w:sz w:val="15"/>
                <w:u w:val="none"/>
                <w:effect w:val="none"/>
              </w:rPr>
              <w:t>69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  <w:t>Director since: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B0295B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B0295B"/>
                <w:sz w:val="15"/>
                <w:u w:val="none"/>
                <w:effect w:val="none"/>
              </w:rPr>
              <w:t>March 2007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B0295B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B0295B"/>
                <w:sz w:val="15"/>
                <w:u w:val="none"/>
                <w:effect w:val="none"/>
              </w:rPr>
              <w:t>CHAIRMAN AND CEO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5"/>
                <w:u w:val="none"/>
                <w:effect w:val="none"/>
              </w:rPr>
              <w:t>Committee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5"/>
                <w:u w:val="none"/>
                <w:effect w:val="none"/>
              </w:rPr>
              <w:t>Membership(s):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18333C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  <w:t>Executive Committee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  <w:t xml:space="preserve">Beneficial owner of 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sz w:val="24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  <w:t>1,382,568</w:t>
            </w:r>
            <w:r>
              <w:rPr>
                <w:caps w:val="false"/>
                <w:smallCaps w:val="false"/>
                <w:strike w:val="false"/>
                <w:dstrike w:val="false"/>
                <w:sz w:val="24"/>
                <w:u w:val="none"/>
                <w:effect w:val="none"/>
              </w:rPr>
              <w:t> 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  <w:t>shares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31" w:type="dxa"/>
            <w:tcBorders/>
            <w:shd w:fill="64BFA6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  <w:t>STRAUSS ZELNICK</w:t>
            </w:r>
          </w:p>
        </w:tc>
      </w:tr>
      <w:tr>
        <w:trPr/>
        <w:tc>
          <w:tcPr>
            <w:tcW w:w="1665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665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9" w:type="dxa"/>
            <w:vMerge w:val="restart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31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both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64BFA6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64BFA6"/>
                <w:sz w:val="14"/>
                <w:u w:val="none"/>
                <w:effect w:val="none"/>
              </w:rPr>
              <w:t>Key qualifications and expertise provided to our board:</w:t>
            </w:r>
          </w:p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Mr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6"/>
                <w:u w:val="single"/>
              </w:rPr>
              <w:t>. Zelnick provides the Company’s Board of Directors with valuable insight in organization and management</w:t>
            </w:r>
            <w:r>
              <w:rPr>
                <w:caps w:val="false"/>
                <w:smallCaps w:val="false"/>
                <w:u w:val="singl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6"/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6"/>
                <w:u w:val="single"/>
              </w:rPr>
              <w:t>obtained from his experiences, including acting as Executive Chairman and CEO of the Company.</w:t>
            </w:r>
          </w:p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03A38"/>
                <w:sz w:val="16"/>
                <w:u w:val="none"/>
                <w:effect w:val="none"/>
              </w:rPr>
              <w:t>Mr. Zelnick has been Chairman of the Company since March 2007, Executive Chairman of the Board of</w:t>
            </w:r>
            <w:r>
              <w:rPr>
                <w:caps w:val="false"/>
                <w:smallCaps w:val="false"/>
                <w:strike w:val="false"/>
                <w:dstrike w:val="false"/>
                <w:color w:val="103A38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03A38"/>
                <w:sz w:val="16"/>
                <w:u w:val="none"/>
                <w:effect w:val="none"/>
              </w:rPr>
              <w:t>Directors since February 2008 and Chief Executive Officer of the Company since January</w:t>
            </w:r>
            <w:r>
              <w:rPr>
                <w:caps w:val="false"/>
                <w:smallCaps w:val="false"/>
                <w:strike w:val="false"/>
                <w:dstrike w:val="false"/>
                <w:color w:val="103A38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03A38"/>
                <w:sz w:val="16"/>
                <w:u w:val="none"/>
                <w:effect w:val="none"/>
              </w:rPr>
              <w:t>2011.</w:t>
            </w:r>
            <w:r>
              <w:rPr>
                <w:caps w:val="false"/>
                <w:smallCaps w:val="false"/>
                <w:u w:val="single"/>
              </w:rPr>
              <w:t> 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6"/>
                <w:u w:val="single"/>
              </w:rPr>
              <w:t>Mr. Zelnick also is founder of and a partner in ZMC, a leading media focused private equity firm.</w:t>
            </w:r>
            <w:r>
              <w:rPr>
                <w:caps w:val="false"/>
                <w:smallCaps w:val="false"/>
                <w:u w:val="singl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6"/>
                <w:u w:val="single"/>
              </w:rPr>
              <w:t>Mr. Zelnick serves as Executive Chairman of the Board of Directors and Chief Executive Officer of the Company</w:t>
            </w:r>
            <w:r>
              <w:rPr>
                <w:caps w:val="false"/>
                <w:smallCaps w:val="false"/>
                <w:u w:val="singl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6"/>
                <w:u w:val="single"/>
              </w:rPr>
              <w:t>pursuant to the terms of the Management Agreement between the Company and ZMC. See “Certain</w:t>
            </w:r>
            <w:r>
              <w:rPr>
                <w:caps w:val="false"/>
                <w:smallCaps w:val="false"/>
                <w:u w:val="singl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6"/>
                <w:u w:val="single"/>
              </w:rPr>
              <w:t>Relationships and Related Transactions—Management Agreement.” Mr. Zelnick received a BA from Wesleyan</w:t>
            </w:r>
            <w:r>
              <w:rPr>
                <w:caps w:val="false"/>
                <w:smallCaps w:val="false"/>
                <w:u w:val="singl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6"/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6"/>
                <w:u w:val="single"/>
              </w:rPr>
              <w:t>University, a JD from Harvard Law School and an MBA from Harvard Business School.</w:t>
            </w:r>
          </w:p>
        </w:tc>
      </w:tr>
      <w:tr>
        <w:trPr/>
        <w:tc>
          <w:tcPr>
            <w:tcW w:w="1665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9" w:type="dxa"/>
            <w:vMerge w:val="continue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31" w:type="dxa"/>
            <w:tcBorders>
              <w:bottom w:val="single" w:sz="2" w:space="0" w:color="8C8D8F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665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9" w:type="dxa"/>
            <w:vMerge w:val="continue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31" w:type="dxa"/>
            <w:tcBorders>
              <w:top w:val="single" w:sz="2" w:space="0" w:color="8C8D8F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665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9" w:type="dxa"/>
            <w:vMerge w:val="continue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31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64BFA6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64BFA6"/>
                <w:sz w:val="14"/>
                <w:u w:val="none"/>
                <w:effect w:val="none"/>
              </w:rPr>
              <w:t>Additional Public Directorships (current):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18333C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6"/>
              </w:rPr>
              <w:t>Starwood Property Trust, Inc.</w:t>
            </w:r>
          </w:p>
        </w:tc>
      </w:tr>
      <w:tr>
        <w:trPr/>
        <w:tc>
          <w:tcPr>
            <w:tcW w:w="1665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9" w:type="dxa"/>
            <w:vMerge w:val="continue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31" w:type="dxa"/>
            <w:tcBorders>
              <w:bottom w:val="single" w:sz="2" w:space="0" w:color="8C8D8F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665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9" w:type="dxa"/>
            <w:vMerge w:val="continue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31" w:type="dxa"/>
            <w:tcBorders>
              <w:top w:val="single" w:sz="2" w:space="0" w:color="8C8D8F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665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9" w:type="dxa"/>
            <w:vMerge w:val="continue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31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both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64BFA6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64BFA6"/>
                <w:sz w:val="14"/>
                <w:u w:val="none"/>
                <w:effect w:val="none"/>
              </w:rPr>
              <w:t>Prior executive roles:</w:t>
            </w:r>
          </w:p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Mr. Zelnick served as Executive Chairman of Direct Holdings Worldwide, Inc., the parent company of Time Life</w:t>
            </w: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and Lillian Vernon, until the company was sold to Reader’s Digest on March 2, 2007. Prior to forming ZMC,</w:t>
            </w: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Mr. Zelnick was President and Chief Executive Officer of BMG Entertainment, a $4.7 billion music and</w:t>
            </w: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entertainment company with more than 200 record labels and operations in 54 countries. Mr. Zelnick’s</w:t>
            </w: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appointment as President and Chief Executive Officer of BMG Entertainment followed his tenure as President</w:t>
            </w: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and Chief Executive Officer of BMG’s North American business unit from 1994 through 1998. Before joining BMG</w:t>
            </w: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Entertainment, Mr. Zelnick was President and Chief Executive Officer of Crystal Dynamics, a leading producer</w:t>
            </w: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and distributor of interactive game software. Prior to that, he spent four years as President and Chief Operating</w:t>
            </w: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Officer of 20th Century Fox, where he managed all aspects of its worldwide motion picture and distribution</w:t>
            </w: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business. Previously, he spent three years at Vestron Inc. as a senior executive, and rose to become President</w:t>
            </w: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and Chief Operating Officer. Mr. Zelnick also served as Vice President, International Television Sales, for</w:t>
            </w: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Columbia Pictures.</w:t>
            </w:r>
          </w:p>
        </w:tc>
      </w:tr>
      <w:tr>
        <w:trPr/>
        <w:tc>
          <w:tcPr>
            <w:tcW w:w="1665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9" w:type="dxa"/>
            <w:vMerge w:val="continue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31" w:type="dxa"/>
            <w:tcBorders>
              <w:bottom w:val="single" w:sz="2" w:space="0" w:color="8C8D8F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665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9" w:type="dxa"/>
            <w:vMerge w:val="continue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31" w:type="dxa"/>
            <w:tcBorders>
              <w:top w:val="single" w:sz="2" w:space="0" w:color="8C8D8F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665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9" w:type="dxa"/>
            <w:vMerge w:val="continue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31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both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64BFA6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64BFA6"/>
                <w:sz w:val="14"/>
                <w:u w:val="none"/>
                <w:effect w:val="none"/>
              </w:rPr>
              <w:t>Other board experience:</w:t>
            </w:r>
          </w:p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Mr. Zelnick serves as a member of the board of directors of the Entertainment Software Association, for which he</w:t>
            </w: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served as Chairman from July 2014 to July 2017, and currently serves as Chairman since December 2025. From</w:t>
            </w: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September 2018 to December 2019, Mr. Zelnick served on the board of ViacomCBS Inc. (formerly known as</w:t>
            </w: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CBS Corporation), a public company, and as a member of its compensation committee and nominating and</w:t>
            </w: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governance committee. He also served as the non-executive interim chairman of the CBS board from October</w:t>
            </w: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2018 until December 2019. Mr. Zelnick is also an associate member of the National Academy of Recording Arts</w:t>
            </w: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and Sciences and served on the board of directors of the Recording Industry Association of America and the</w:t>
            </w: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Motion Picture Association of America.</w:t>
            </w:r>
          </w:p>
        </w:tc>
      </w:tr>
      <w:tr>
        <w:trPr/>
        <w:tc>
          <w:tcPr>
            <w:tcW w:w="1665" w:type="dxa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vMerge w:val="continue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31" w:type="dxa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4982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4651"/>
        <w:gridCol w:w="331"/>
      </w:tblGrid>
      <w:tr>
        <w:trPr/>
        <w:tc>
          <w:tcPr>
            <w:tcW w:w="46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651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sz w:val="24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TAKE-TWO INTERACTIVE SOFTWARE, INC.   |   2026</w:t>
            </w:r>
            <w:r>
              <w:rPr>
                <w:caps w:val="false"/>
                <w:smallCaps w:val="false"/>
                <w:strike w:val="false"/>
                <w:dstrike w:val="false"/>
                <w:color w:val="18333C"/>
                <w:sz w:val="24"/>
                <w:u w:val="none"/>
                <w:effect w:val="none"/>
              </w:rPr>
              <w:t xml:space="preserve"> 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 xml:space="preserve">Proxy Statement </w:t>
            </w:r>
          </w:p>
        </w:tc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15</w:t>
            </w:r>
          </w:p>
        </w:tc>
      </w:tr>
    </w:tbl>
    <w:p>
      <w:pPr>
        <w:pStyle w:val="TextBody"/>
        <w:bidi w:val="0"/>
        <w:spacing w:lineRule="atLeast" w:line="142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3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3"/>
          <w:u w:val="none"/>
          <w:effect w:val="none"/>
        </w:rPr>
        <w:t>PROPOSAL 1: ELECTION OF DIRECTORS</w:t>
      </w:r>
    </w:p>
    <w:p>
      <w:pPr>
        <w:pStyle w:val="TextBody"/>
        <w:bidi w:val="0"/>
        <w:spacing w:lineRule="atLeast" w:line="142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2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2"/>
          <w:u w:val="none"/>
          <w:effect w:val="none"/>
        </w:rPr>
        <w:t>BOARD COMPOSITION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8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28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28"/>
          <w:u w:val="none"/>
          <w:effect w:val="none"/>
        </w:rPr>
        <w:t>Board Composition</w:t>
      </w:r>
      <w:bookmarkStart w:id="104" w:name="id288dd3ad3bf40c98b1f932ccefa13d9_596"/>
      <w:bookmarkEnd w:id="104"/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Each director nominee for our Board of Directors is highly qualified and brings a variety of skills and experiences to our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boardroom. These skills are relevant to our business and enable the Board of Directors to provide strong oversight and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effectively oversee management’s execution of strategy.</w:t>
      </w:r>
    </w:p>
    <w:tbl>
      <w:tblPr>
        <w:tblW w:w="857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5401"/>
        <w:gridCol w:w="109"/>
        <w:gridCol w:w="302"/>
        <w:gridCol w:w="302"/>
        <w:gridCol w:w="302"/>
        <w:gridCol w:w="302"/>
        <w:gridCol w:w="302"/>
        <w:gridCol w:w="302"/>
        <w:gridCol w:w="302"/>
        <w:gridCol w:w="302"/>
        <w:gridCol w:w="302"/>
        <w:gridCol w:w="347"/>
      </w:tblGrid>
      <w:tr>
        <w:trPr/>
        <w:tc>
          <w:tcPr>
            <w:tcW w:w="540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5401" w:type="dxa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64BFA6"/>
                <w:sz w:val="18"/>
                <w:u w:val="none"/>
                <w:effect w:val="none"/>
              </w:rPr>
              <w:t>Skill/Experience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64BFA6"/>
                <w:sz w:val="12"/>
                <w:u w:val="none"/>
                <w:effect w:val="none"/>
              </w:rPr>
              <w:t>(1)</w:t>
            </w:r>
          </w:p>
        </w:tc>
        <w:tc>
          <w:tcPr>
            <w:tcW w:w="109" w:type="dxa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bottom w:val="single" w:sz="4" w:space="0" w:color="18333C"/>
              <w:right w:val="single" w:sz="2" w:space="0" w:color="8C8D8F"/>
            </w:tcBorders>
            <w:shd w:fill="EBEDEF" w:val="clear"/>
            <w:tcMar>
              <w:top w:w="0" w:type="dxa"/>
              <w:left w:w="0" w:type="dxa"/>
            </w:tcMar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18745" cy="887095"/>
                  <wp:effectExtent l="0" t="0" r="0" b="0"/>
                  <wp:docPr id="105" name="Image105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5" name="Image105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745" cy="8870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105" w:name="i-105"/>
            <w:bookmarkEnd w:id="105"/>
          </w:p>
        </w:tc>
        <w:tc>
          <w:tcPr>
            <w:tcW w:w="302" w:type="dxa"/>
            <w:tcBorders>
              <w:left w:val="single" w:sz="2" w:space="0" w:color="8C8D8F"/>
              <w:bottom w:val="single" w:sz="4" w:space="0" w:color="18333C"/>
              <w:right w:val="single" w:sz="2" w:space="0" w:color="8C8D8F"/>
            </w:tcBorders>
            <w:shd w:fill="EBEDEF" w:val="clear"/>
            <w:tcMar>
              <w:top w:w="0" w:type="dxa"/>
            </w:tcMar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18745" cy="887095"/>
                  <wp:effectExtent l="0" t="0" r="0" b="0"/>
                  <wp:docPr id="106" name="Image106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6" name="Image106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745" cy="8870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106" w:name="i-106"/>
            <w:bookmarkEnd w:id="106"/>
          </w:p>
        </w:tc>
        <w:tc>
          <w:tcPr>
            <w:tcW w:w="302" w:type="dxa"/>
            <w:tcBorders>
              <w:left w:val="single" w:sz="2" w:space="0" w:color="8C8D8F"/>
              <w:bottom w:val="single" w:sz="4" w:space="0" w:color="18333C"/>
              <w:right w:val="single" w:sz="2" w:space="0" w:color="8C8D8F"/>
            </w:tcBorders>
            <w:shd w:fill="EBEDEF" w:val="clear"/>
            <w:tcMar>
              <w:top w:w="0" w:type="dxa"/>
            </w:tcMar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18745" cy="887095"/>
                  <wp:effectExtent l="0" t="0" r="0" b="0"/>
                  <wp:docPr id="107" name="Image107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7" name="Image107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745" cy="8870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107" w:name="i-107"/>
            <w:bookmarkEnd w:id="107"/>
          </w:p>
        </w:tc>
        <w:tc>
          <w:tcPr>
            <w:tcW w:w="302" w:type="dxa"/>
            <w:tcBorders>
              <w:left w:val="single" w:sz="2" w:space="0" w:color="8C8D8F"/>
              <w:bottom w:val="single" w:sz="4" w:space="0" w:color="18333C"/>
              <w:right w:val="single" w:sz="2" w:space="0" w:color="8C8D8F"/>
            </w:tcBorders>
            <w:shd w:fill="EBEDEF" w:val="clear"/>
            <w:tcMar>
              <w:top w:w="0" w:type="dxa"/>
            </w:tcMar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18745" cy="887095"/>
                  <wp:effectExtent l="0" t="0" r="0" b="0"/>
                  <wp:docPr id="108" name="Image108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8" name="Image108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745" cy="8870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108" w:name="i-108"/>
            <w:bookmarkEnd w:id="108"/>
          </w:p>
        </w:tc>
        <w:tc>
          <w:tcPr>
            <w:tcW w:w="302" w:type="dxa"/>
            <w:tcBorders>
              <w:left w:val="single" w:sz="2" w:space="0" w:color="8C8D8F"/>
              <w:bottom w:val="single" w:sz="4" w:space="0" w:color="18333C"/>
              <w:right w:val="single" w:sz="2" w:space="0" w:color="8C8D8F"/>
            </w:tcBorders>
            <w:shd w:fill="EBEDEF" w:val="clear"/>
            <w:tcMar>
              <w:top w:w="0" w:type="dxa"/>
            </w:tcMar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18745" cy="887095"/>
                  <wp:effectExtent l="0" t="0" r="0" b="0"/>
                  <wp:docPr id="109" name="Image109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9" name="Image109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745" cy="8870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109" w:name="i-109"/>
            <w:bookmarkEnd w:id="109"/>
          </w:p>
        </w:tc>
        <w:tc>
          <w:tcPr>
            <w:tcW w:w="302" w:type="dxa"/>
            <w:tcBorders>
              <w:left w:val="single" w:sz="2" w:space="0" w:color="8C8D8F"/>
              <w:bottom w:val="single" w:sz="4" w:space="0" w:color="18333C"/>
              <w:right w:val="single" w:sz="2" w:space="0" w:color="8C8D8F"/>
            </w:tcBorders>
            <w:shd w:fill="EBEDEF" w:val="clear"/>
            <w:tcMar>
              <w:top w:w="0" w:type="dxa"/>
            </w:tcMar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18745" cy="887095"/>
                  <wp:effectExtent l="0" t="0" r="0" b="0"/>
                  <wp:docPr id="110" name="Image110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0" name="Image110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745" cy="8870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110" w:name="i-110"/>
            <w:bookmarkEnd w:id="110"/>
          </w:p>
        </w:tc>
        <w:tc>
          <w:tcPr>
            <w:tcW w:w="302" w:type="dxa"/>
            <w:tcBorders>
              <w:left w:val="single" w:sz="2" w:space="0" w:color="8C8D8F"/>
              <w:bottom w:val="single" w:sz="4" w:space="0" w:color="18333C"/>
              <w:right w:val="single" w:sz="2" w:space="0" w:color="8C8D8F"/>
            </w:tcBorders>
            <w:shd w:fill="EBEDEF" w:val="clear"/>
            <w:tcMar>
              <w:top w:w="0" w:type="dxa"/>
            </w:tcMar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18745" cy="887095"/>
                  <wp:effectExtent l="0" t="0" r="0" b="0"/>
                  <wp:docPr id="111" name="Image11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1" name="Image11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745" cy="8870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111" w:name="i-111"/>
            <w:bookmarkEnd w:id="111"/>
          </w:p>
        </w:tc>
        <w:tc>
          <w:tcPr>
            <w:tcW w:w="302" w:type="dxa"/>
            <w:tcBorders>
              <w:left w:val="single" w:sz="2" w:space="0" w:color="8C8D8F"/>
              <w:bottom w:val="single" w:sz="4" w:space="0" w:color="18333C"/>
              <w:right w:val="single" w:sz="2" w:space="0" w:color="8C8D8F"/>
            </w:tcBorders>
            <w:shd w:fill="EBEDEF" w:val="clear"/>
            <w:tcMar>
              <w:top w:w="0" w:type="dxa"/>
            </w:tcMar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18745" cy="887095"/>
                  <wp:effectExtent l="0" t="0" r="0" b="0"/>
                  <wp:docPr id="112" name="Image11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2" name="Image11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745" cy="8870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112" w:name="i-112"/>
            <w:bookmarkEnd w:id="112"/>
          </w:p>
        </w:tc>
        <w:tc>
          <w:tcPr>
            <w:tcW w:w="302" w:type="dxa"/>
            <w:tcBorders>
              <w:left w:val="single" w:sz="2" w:space="0" w:color="8C8D8F"/>
              <w:bottom w:val="single" w:sz="4" w:space="0" w:color="18333C"/>
              <w:right w:val="single" w:sz="2" w:space="0" w:color="8C8D8F"/>
            </w:tcBorders>
            <w:shd w:fill="EBEDEF" w:val="clear"/>
            <w:tcMar>
              <w:top w:w="0" w:type="dxa"/>
            </w:tcMar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18745" cy="887095"/>
                  <wp:effectExtent l="0" t="0" r="0" b="0"/>
                  <wp:docPr id="113" name="Image113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3" name="Image113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745" cy="8870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113" w:name="i-113"/>
            <w:bookmarkEnd w:id="113"/>
          </w:p>
        </w:tc>
        <w:tc>
          <w:tcPr>
            <w:tcW w:w="347" w:type="dxa"/>
            <w:tcBorders>
              <w:left w:val="single" w:sz="2" w:space="0" w:color="8C8D8F"/>
              <w:bottom w:val="single" w:sz="4" w:space="0" w:color="18333C"/>
            </w:tcBorders>
            <w:shd w:fill="EBEDEF" w:val="clear"/>
            <w:tcMar>
              <w:top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18745" cy="887095"/>
                  <wp:effectExtent l="0" t="0" r="0" b="0"/>
                  <wp:docPr id="114" name="Image114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4" name="Image114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745" cy="8870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114" w:name="i-114"/>
            <w:bookmarkEnd w:id="114"/>
          </w:p>
        </w:tc>
      </w:tr>
      <w:tr>
        <w:trPr/>
        <w:tc>
          <w:tcPr>
            <w:tcW w:w="5401" w:type="dxa"/>
            <w:tcBorders>
              <w:top w:val="single" w:sz="4" w:space="0" w:color="18333C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top w:val="single" w:sz="4" w:space="0" w:color="18333C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top w:val="single" w:sz="4" w:space="0" w:color="18333C"/>
              <w:right w:val="single" w:sz="2" w:space="0" w:color="8C8D8F"/>
            </w:tcBorders>
            <w:shd w:fill="EBEDEF" w:val="clear"/>
            <w:tcMar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top w:val="single" w:sz="4" w:space="0" w:color="18333C"/>
              <w:left w:val="single" w:sz="2" w:space="0" w:color="8C8D8F"/>
              <w:right w:val="single" w:sz="2" w:space="0" w:color="8C8D8F"/>
            </w:tcBorders>
            <w:shd w:fill="EBEDEF" w:val="clear"/>
            <w:tcMar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top w:val="single" w:sz="4" w:space="0" w:color="18333C"/>
              <w:left w:val="single" w:sz="2" w:space="0" w:color="8C8D8F"/>
              <w:right w:val="single" w:sz="2" w:space="0" w:color="8C8D8F"/>
            </w:tcBorders>
            <w:shd w:fill="EBEDEF" w:val="clear"/>
            <w:tcMar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top w:val="single" w:sz="4" w:space="0" w:color="18333C"/>
              <w:left w:val="single" w:sz="2" w:space="0" w:color="8C8D8F"/>
              <w:right w:val="single" w:sz="2" w:space="0" w:color="8C8D8F"/>
            </w:tcBorders>
            <w:shd w:fill="EBEDEF" w:val="clear"/>
            <w:tcMar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top w:val="single" w:sz="4" w:space="0" w:color="18333C"/>
              <w:left w:val="single" w:sz="2" w:space="0" w:color="8C8D8F"/>
              <w:right w:val="single" w:sz="2" w:space="0" w:color="8C8D8F"/>
            </w:tcBorders>
            <w:shd w:fill="EBEDEF" w:val="clear"/>
            <w:tcMar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top w:val="single" w:sz="4" w:space="0" w:color="18333C"/>
              <w:left w:val="single" w:sz="2" w:space="0" w:color="8C8D8F"/>
              <w:right w:val="single" w:sz="2" w:space="0" w:color="8C8D8F"/>
            </w:tcBorders>
            <w:shd w:fill="EBEDEF" w:val="clear"/>
            <w:tcMar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top w:val="single" w:sz="4" w:space="0" w:color="18333C"/>
              <w:left w:val="single" w:sz="2" w:space="0" w:color="8C8D8F"/>
              <w:right w:val="single" w:sz="2" w:space="0" w:color="8C8D8F"/>
            </w:tcBorders>
            <w:shd w:fill="EBEDEF" w:val="clear"/>
            <w:tcMar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top w:val="single" w:sz="4" w:space="0" w:color="18333C"/>
              <w:left w:val="single" w:sz="2" w:space="0" w:color="8C8D8F"/>
              <w:right w:val="single" w:sz="2" w:space="0" w:color="8C8D8F"/>
            </w:tcBorders>
            <w:shd w:fill="EBEDEF" w:val="clear"/>
            <w:tcMar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top w:val="single" w:sz="4" w:space="0" w:color="18333C"/>
              <w:left w:val="single" w:sz="2" w:space="0" w:color="8C8D8F"/>
              <w:right w:val="single" w:sz="2" w:space="0" w:color="8C8D8F"/>
            </w:tcBorders>
            <w:shd w:fill="EBEDEF" w:val="clear"/>
            <w:tcMar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7" w:type="dxa"/>
            <w:tcBorders>
              <w:top w:val="single" w:sz="4" w:space="0" w:color="18333C"/>
              <w:left w:val="single" w:sz="2" w:space="0" w:color="8C8D8F"/>
            </w:tcBorders>
            <w:shd w:fill="EBEDEF" w:val="clear"/>
            <w:tcMar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5401" w:type="dxa"/>
            <w:tcBorders/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both"/>
              <w:rPr>
                <w:rFonts w:ascii="Arial;sans-serif" w:hAnsi="Arial;sans-serif"/>
                <w:b/>
                <w:i w:val="false"/>
                <w:caps w:val="false"/>
                <w:smallCaps w:val="false"/>
                <w:sz w:val="17"/>
                <w:u w:val="singl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z w:val="17"/>
                <w:u w:val="single"/>
              </w:rPr>
              <w:t>Consumer &amp; Marketing Insight:</w:t>
            </w:r>
          </w:p>
          <w:p>
            <w:pPr>
              <w:pStyle w:val="TableContents"/>
              <w:bidi w:val="0"/>
              <w:spacing w:lineRule="atLeast" w:line="150" w:before="0" w:after="0"/>
              <w:jc w:val="both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5"/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5"/>
                <w:u w:val="single"/>
              </w:rPr>
              <w:t>Positions the Company for successful title releases and consumer retention.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right w:val="single" w:sz="2" w:space="0" w:color="8C8D8F"/>
            </w:tcBorders>
            <w:shd w:fill="EBEDEF" w:val="clear"/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EBEDEF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EBEDEF"/>
                <w:u w:val="none"/>
                <w:effect w:val="non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37160" cy="137160"/>
                  <wp:effectExtent l="0" t="0" r="0" b="0"/>
                  <wp:docPr id="115" name="Image115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5" name="Image115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160" cy="1371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115" w:name="i-115"/>
            <w:bookmarkEnd w:id="115"/>
          </w:p>
        </w:tc>
        <w:tc>
          <w:tcPr>
            <w:tcW w:w="302" w:type="dxa"/>
            <w:tcBorders>
              <w:left w:val="single" w:sz="2" w:space="0" w:color="8C8D8F"/>
              <w:right w:val="single" w:sz="2" w:space="0" w:color="8C8D8F"/>
            </w:tcBorders>
            <w:shd w:fill="EBEDEF" w:val="clear"/>
            <w:tcMar>
              <w:top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EBEDEF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EBEDEF"/>
                <w:u w:val="none"/>
                <w:effect w:val="non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37160" cy="137160"/>
                  <wp:effectExtent l="0" t="0" r="0" b="0"/>
                  <wp:docPr id="116" name="Image116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6" name="Image116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160" cy="1371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116" w:name="i-116"/>
            <w:bookmarkEnd w:id="116"/>
          </w:p>
        </w:tc>
        <w:tc>
          <w:tcPr>
            <w:tcW w:w="302" w:type="dxa"/>
            <w:tcBorders>
              <w:left w:val="single" w:sz="2" w:space="0" w:color="8C8D8F"/>
              <w:right w:val="single" w:sz="2" w:space="0" w:color="8C8D8F"/>
            </w:tcBorders>
            <w:shd w:fill="EBEDEF" w:val="clear"/>
            <w:tcMar>
              <w:top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EBEDEF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EBEDEF"/>
                <w:u w:val="none"/>
                <w:effect w:val="non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37160" cy="137160"/>
                  <wp:effectExtent l="0" t="0" r="0" b="0"/>
                  <wp:docPr id="117" name="Image117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7" name="Image117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160" cy="1371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117" w:name="i-117"/>
            <w:bookmarkEnd w:id="117"/>
          </w:p>
        </w:tc>
        <w:tc>
          <w:tcPr>
            <w:tcW w:w="302" w:type="dxa"/>
            <w:tcBorders>
              <w:left w:val="single" w:sz="2" w:space="0" w:color="8C8D8F"/>
              <w:right w:val="single" w:sz="2" w:space="0" w:color="8C8D8F"/>
            </w:tcBorders>
            <w:shd w:fill="EBEDEF" w:val="clear"/>
            <w:tcMar>
              <w:top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EBEDEF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EBEDEF"/>
                <w:u w:val="none"/>
                <w:effect w:val="non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37160" cy="137160"/>
                  <wp:effectExtent l="0" t="0" r="0" b="0"/>
                  <wp:docPr id="118" name="Image118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8" name="Image118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160" cy="1371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118" w:name="i-118"/>
            <w:bookmarkEnd w:id="118"/>
          </w:p>
        </w:tc>
        <w:tc>
          <w:tcPr>
            <w:tcW w:w="302" w:type="dxa"/>
            <w:tcBorders>
              <w:left w:val="single" w:sz="2" w:space="0" w:color="8C8D8F"/>
              <w:right w:val="single" w:sz="2" w:space="0" w:color="8C8D8F"/>
            </w:tcBorders>
            <w:shd w:fill="EBEDEF" w:val="clear"/>
            <w:tcMar>
              <w:top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EBEDEF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EBEDEF"/>
                <w:u w:val="none"/>
                <w:effect w:val="non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37160" cy="137160"/>
                  <wp:effectExtent l="0" t="0" r="0" b="0"/>
                  <wp:docPr id="119" name="Image119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9" name="Image119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160" cy="1371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119" w:name="i-119"/>
            <w:bookmarkEnd w:id="119"/>
          </w:p>
        </w:tc>
        <w:tc>
          <w:tcPr>
            <w:tcW w:w="302" w:type="dxa"/>
            <w:tcBorders>
              <w:left w:val="single" w:sz="2" w:space="0" w:color="8C8D8F"/>
              <w:right w:val="single" w:sz="2" w:space="0" w:color="8C8D8F"/>
            </w:tcBorders>
            <w:shd w:fill="EBEDEF" w:val="clear"/>
            <w:tcMar>
              <w:top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EBEDEF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EBEDEF"/>
                <w:u w:val="none"/>
                <w:effect w:val="non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37160" cy="137160"/>
                  <wp:effectExtent l="0" t="0" r="0" b="0"/>
                  <wp:docPr id="120" name="Image120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0" name="Image120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160" cy="1371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120" w:name="i-120"/>
            <w:bookmarkEnd w:id="120"/>
          </w:p>
        </w:tc>
        <w:tc>
          <w:tcPr>
            <w:tcW w:w="302" w:type="dxa"/>
            <w:tcBorders>
              <w:left w:val="single" w:sz="2" w:space="0" w:color="8C8D8F"/>
              <w:right w:val="single" w:sz="2" w:space="0" w:color="8C8D8F"/>
            </w:tcBorders>
            <w:shd w:fill="EBEDEF" w:val="clear"/>
            <w:tcMar>
              <w:top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EBEDEF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EBEDEF"/>
                <w:u w:val="none"/>
                <w:effect w:val="non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37160" cy="137160"/>
                  <wp:effectExtent l="0" t="0" r="0" b="0"/>
                  <wp:docPr id="121" name="Image12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1" name="Image12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160" cy="1371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121" w:name="i-121"/>
            <w:bookmarkEnd w:id="121"/>
          </w:p>
        </w:tc>
        <w:tc>
          <w:tcPr>
            <w:tcW w:w="302" w:type="dxa"/>
            <w:tcBorders>
              <w:left w:val="single" w:sz="2" w:space="0" w:color="8C8D8F"/>
              <w:right w:val="single" w:sz="2" w:space="0" w:color="8C8D8F"/>
            </w:tcBorders>
            <w:shd w:fill="EBEDEF" w:val="clear"/>
            <w:tcMar>
              <w:top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EBEDEF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EBEDEF"/>
                <w:u w:val="none"/>
                <w:effect w:val="non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37160" cy="137160"/>
                  <wp:effectExtent l="0" t="0" r="0" b="0"/>
                  <wp:docPr id="122" name="Image12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2" name="Image12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160" cy="1371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122" w:name="i-122"/>
            <w:bookmarkEnd w:id="122"/>
          </w:p>
        </w:tc>
        <w:tc>
          <w:tcPr>
            <w:tcW w:w="302" w:type="dxa"/>
            <w:tcBorders>
              <w:left w:val="single" w:sz="2" w:space="0" w:color="8C8D8F"/>
              <w:right w:val="single" w:sz="2" w:space="0" w:color="8C8D8F"/>
            </w:tcBorders>
            <w:shd w:fill="EBEDEF" w:val="clear"/>
            <w:tcMar>
              <w:top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7" w:type="dxa"/>
            <w:tcBorders>
              <w:left w:val="single" w:sz="2" w:space="0" w:color="8C8D8F"/>
            </w:tcBorders>
            <w:shd w:fill="EBEDEF" w:val="clear"/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</w:rPr>
            </w:pPr>
            <w:r>
              <w:rPr>
                <w:caps w:val="false"/>
                <w:smallCaps w:val="fals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37160" cy="137160"/>
                  <wp:effectExtent l="0" t="0" r="0" b="0"/>
                  <wp:docPr id="123" name="Image123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3" name="Image123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160" cy="1371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123" w:name="i-123"/>
            <w:bookmarkEnd w:id="123"/>
          </w:p>
        </w:tc>
      </w:tr>
      <w:tr>
        <w:trPr/>
        <w:tc>
          <w:tcPr>
            <w:tcW w:w="5401" w:type="dxa"/>
            <w:tcBorders>
              <w:bottom w:val="single" w:sz="2" w:space="0" w:color="8C8D8F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bottom w:val="single" w:sz="2" w:space="0" w:color="8C8D8F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bottom w:val="single" w:sz="2" w:space="0" w:color="8C8D8F"/>
              <w:right w:val="single" w:sz="2" w:space="0" w:color="8C8D8F"/>
            </w:tcBorders>
            <w:shd w:fill="EBEDEF" w:val="clear"/>
            <w:tcMar>
              <w:top w:w="0" w:type="dxa"/>
              <w:lef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left w:val="single" w:sz="2" w:space="0" w:color="8C8D8F"/>
              <w:bottom w:val="single" w:sz="2" w:space="0" w:color="8C8D8F"/>
              <w:right w:val="single" w:sz="2" w:space="0" w:color="8C8D8F"/>
            </w:tcBorders>
            <w:shd w:fill="EBEDEF" w:val="clear"/>
            <w:tcMar>
              <w:top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left w:val="single" w:sz="2" w:space="0" w:color="8C8D8F"/>
              <w:bottom w:val="single" w:sz="2" w:space="0" w:color="8C8D8F"/>
              <w:right w:val="single" w:sz="2" w:space="0" w:color="8C8D8F"/>
            </w:tcBorders>
            <w:shd w:fill="EBEDEF" w:val="clear"/>
            <w:tcMar>
              <w:top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left w:val="single" w:sz="2" w:space="0" w:color="8C8D8F"/>
              <w:bottom w:val="single" w:sz="2" w:space="0" w:color="8C8D8F"/>
              <w:right w:val="single" w:sz="2" w:space="0" w:color="8C8D8F"/>
            </w:tcBorders>
            <w:shd w:fill="EBEDEF" w:val="clear"/>
            <w:tcMar>
              <w:top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left w:val="single" w:sz="2" w:space="0" w:color="8C8D8F"/>
              <w:bottom w:val="single" w:sz="2" w:space="0" w:color="8C8D8F"/>
              <w:right w:val="single" w:sz="2" w:space="0" w:color="8C8D8F"/>
            </w:tcBorders>
            <w:shd w:fill="EBEDEF" w:val="clear"/>
            <w:tcMar>
              <w:top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left w:val="single" w:sz="2" w:space="0" w:color="8C8D8F"/>
              <w:bottom w:val="single" w:sz="2" w:space="0" w:color="8C8D8F"/>
              <w:right w:val="single" w:sz="2" w:space="0" w:color="8C8D8F"/>
            </w:tcBorders>
            <w:shd w:fill="EBEDEF" w:val="clear"/>
            <w:tcMar>
              <w:top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left w:val="single" w:sz="2" w:space="0" w:color="8C8D8F"/>
              <w:bottom w:val="single" w:sz="2" w:space="0" w:color="8C8D8F"/>
              <w:right w:val="single" w:sz="2" w:space="0" w:color="8C8D8F"/>
            </w:tcBorders>
            <w:shd w:fill="EBEDEF" w:val="clear"/>
            <w:tcMar>
              <w:top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left w:val="single" w:sz="2" w:space="0" w:color="8C8D8F"/>
              <w:bottom w:val="single" w:sz="2" w:space="0" w:color="8C8D8F"/>
              <w:right w:val="single" w:sz="2" w:space="0" w:color="8C8D8F"/>
            </w:tcBorders>
            <w:shd w:fill="EBEDEF" w:val="clear"/>
            <w:tcMar>
              <w:top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left w:val="single" w:sz="2" w:space="0" w:color="8C8D8F"/>
              <w:bottom w:val="single" w:sz="2" w:space="0" w:color="8C8D8F"/>
              <w:right w:val="single" w:sz="2" w:space="0" w:color="8C8D8F"/>
            </w:tcBorders>
            <w:shd w:fill="EBEDEF" w:val="clear"/>
            <w:tcMar>
              <w:top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7" w:type="dxa"/>
            <w:tcBorders>
              <w:left w:val="single" w:sz="2" w:space="0" w:color="8C8D8F"/>
              <w:bottom w:val="single" w:sz="2" w:space="0" w:color="8C8D8F"/>
            </w:tcBorders>
            <w:shd w:fill="EBEDEF" w:val="clear"/>
            <w:tcMar>
              <w:top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5401" w:type="dxa"/>
            <w:tcBorders>
              <w:top w:val="single" w:sz="2" w:space="0" w:color="8C8D8F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top w:val="single" w:sz="2" w:space="0" w:color="8C8D8F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top w:val="single" w:sz="2" w:space="0" w:color="8C8D8F"/>
              <w:right w:val="single" w:sz="2" w:space="0" w:color="8C8D8F"/>
            </w:tcBorders>
            <w:shd w:fill="EBEDEF" w:val="clear"/>
            <w:tcMar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top w:val="single" w:sz="2" w:space="0" w:color="8C8D8F"/>
              <w:left w:val="single" w:sz="2" w:space="0" w:color="8C8D8F"/>
              <w:right w:val="single" w:sz="2" w:space="0" w:color="8C8D8F"/>
            </w:tcBorders>
            <w:shd w:fill="EBEDEF" w:val="clear"/>
            <w:tcMar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top w:val="single" w:sz="2" w:space="0" w:color="8C8D8F"/>
              <w:left w:val="single" w:sz="2" w:space="0" w:color="8C8D8F"/>
              <w:right w:val="single" w:sz="2" w:space="0" w:color="8C8D8F"/>
            </w:tcBorders>
            <w:shd w:fill="EBEDEF" w:val="clear"/>
            <w:tcMar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top w:val="single" w:sz="2" w:space="0" w:color="8C8D8F"/>
              <w:left w:val="single" w:sz="2" w:space="0" w:color="8C8D8F"/>
              <w:right w:val="single" w:sz="2" w:space="0" w:color="8C8D8F"/>
            </w:tcBorders>
            <w:shd w:fill="EBEDEF" w:val="clear"/>
            <w:tcMar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top w:val="single" w:sz="2" w:space="0" w:color="8C8D8F"/>
              <w:left w:val="single" w:sz="2" w:space="0" w:color="8C8D8F"/>
              <w:right w:val="single" w:sz="2" w:space="0" w:color="8C8D8F"/>
            </w:tcBorders>
            <w:shd w:fill="EBEDEF" w:val="clear"/>
            <w:tcMar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top w:val="single" w:sz="2" w:space="0" w:color="8C8D8F"/>
              <w:left w:val="single" w:sz="2" w:space="0" w:color="8C8D8F"/>
              <w:right w:val="single" w:sz="2" w:space="0" w:color="8C8D8F"/>
            </w:tcBorders>
            <w:shd w:fill="EBEDEF" w:val="clear"/>
            <w:tcMar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top w:val="single" w:sz="2" w:space="0" w:color="8C8D8F"/>
              <w:left w:val="single" w:sz="2" w:space="0" w:color="8C8D8F"/>
              <w:right w:val="single" w:sz="2" w:space="0" w:color="8C8D8F"/>
            </w:tcBorders>
            <w:shd w:fill="EBEDEF" w:val="clear"/>
            <w:tcMar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top w:val="single" w:sz="2" w:space="0" w:color="8C8D8F"/>
              <w:left w:val="single" w:sz="2" w:space="0" w:color="8C8D8F"/>
              <w:right w:val="single" w:sz="2" w:space="0" w:color="8C8D8F"/>
            </w:tcBorders>
            <w:shd w:fill="EBEDEF" w:val="clear"/>
            <w:tcMar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top w:val="single" w:sz="2" w:space="0" w:color="8C8D8F"/>
              <w:left w:val="single" w:sz="2" w:space="0" w:color="8C8D8F"/>
              <w:right w:val="single" w:sz="2" w:space="0" w:color="8C8D8F"/>
            </w:tcBorders>
            <w:shd w:fill="EBEDEF" w:val="clear"/>
            <w:tcMar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7" w:type="dxa"/>
            <w:tcBorders>
              <w:top w:val="single" w:sz="2" w:space="0" w:color="8C8D8F"/>
              <w:left w:val="single" w:sz="2" w:space="0" w:color="8C8D8F"/>
            </w:tcBorders>
            <w:shd w:fill="EBEDEF" w:val="clear"/>
            <w:tcMar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5401" w:type="dxa"/>
            <w:tcBorders/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both"/>
              <w:rPr>
                <w:rFonts w:ascii="Arial;sans-serif" w:hAnsi="Arial;sans-serif"/>
                <w:b/>
                <w:i w:val="false"/>
                <w:caps w:val="false"/>
                <w:smallCaps w:val="false"/>
                <w:sz w:val="17"/>
                <w:u w:val="singl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z w:val="17"/>
                <w:u w:val="single"/>
              </w:rPr>
              <w:t>Corporate Governance &amp; Sustainability:</w:t>
            </w:r>
          </w:p>
          <w:p>
            <w:pPr>
              <w:pStyle w:val="TableContents"/>
              <w:bidi w:val="0"/>
              <w:spacing w:lineRule="atLeast" w:line="15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5"/>
                <w:u w:val="single"/>
              </w:rPr>
              <w:t>Ensures that the Company operates in a responsible manner as it relates</w:t>
            </w:r>
            <w:r>
              <w:rPr>
                <w:caps w:val="false"/>
                <w:smallCaps w:val="false"/>
                <w:u w:val="singl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5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5"/>
                <w:u w:val="single"/>
              </w:rPr>
              <w:t>to corporate governance, environmental and community impact, and</w:t>
            </w:r>
            <w:r>
              <w:rPr>
                <w:caps w:val="false"/>
                <w:smallCaps w:val="false"/>
                <w:u w:val="singl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50" w:before="0" w:after="0"/>
              <w:jc w:val="both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5"/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5"/>
                <w:u w:val="single"/>
              </w:rPr>
              <w:t>executive compensation.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right w:val="single" w:sz="2" w:space="0" w:color="8C8D8F"/>
            </w:tcBorders>
            <w:shd w:fill="EBEDEF" w:val="clear"/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EBEDEF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EBEDEF"/>
                <w:u w:val="none"/>
                <w:effect w:val="non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37160" cy="137160"/>
                  <wp:effectExtent l="0" t="0" r="0" b="0"/>
                  <wp:docPr id="124" name="Image124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4" name="Image124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160" cy="1371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124" w:name="i-124"/>
            <w:bookmarkEnd w:id="124"/>
          </w:p>
        </w:tc>
        <w:tc>
          <w:tcPr>
            <w:tcW w:w="302" w:type="dxa"/>
            <w:tcBorders>
              <w:left w:val="single" w:sz="2" w:space="0" w:color="8C8D8F"/>
              <w:right w:val="single" w:sz="2" w:space="0" w:color="8C8D8F"/>
            </w:tcBorders>
            <w:shd w:fill="EBEDEF" w:val="clear"/>
            <w:tcMar>
              <w:top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EBEDEF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EBEDEF"/>
                <w:u w:val="none"/>
                <w:effect w:val="non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37160" cy="137160"/>
                  <wp:effectExtent l="0" t="0" r="0" b="0"/>
                  <wp:docPr id="125" name="Image125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5" name="Image125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160" cy="1371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125" w:name="i-125"/>
            <w:bookmarkEnd w:id="125"/>
          </w:p>
        </w:tc>
        <w:tc>
          <w:tcPr>
            <w:tcW w:w="302" w:type="dxa"/>
            <w:tcBorders>
              <w:left w:val="single" w:sz="2" w:space="0" w:color="8C8D8F"/>
              <w:right w:val="single" w:sz="2" w:space="0" w:color="8C8D8F"/>
            </w:tcBorders>
            <w:shd w:fill="EBEDEF" w:val="clear"/>
            <w:tcMar>
              <w:top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EBEDEF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EBEDEF"/>
                <w:u w:val="none"/>
                <w:effect w:val="non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37160" cy="137160"/>
                  <wp:effectExtent l="0" t="0" r="0" b="0"/>
                  <wp:docPr id="126" name="Image126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6" name="Image126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160" cy="1371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126" w:name="i-126"/>
            <w:bookmarkEnd w:id="126"/>
          </w:p>
        </w:tc>
        <w:tc>
          <w:tcPr>
            <w:tcW w:w="302" w:type="dxa"/>
            <w:tcBorders>
              <w:left w:val="single" w:sz="2" w:space="0" w:color="8C8D8F"/>
              <w:right w:val="single" w:sz="2" w:space="0" w:color="8C8D8F"/>
            </w:tcBorders>
            <w:shd w:fill="EBEDEF" w:val="clear"/>
            <w:tcMar>
              <w:top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EBEDEF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EBEDEF"/>
                <w:u w:val="none"/>
                <w:effect w:val="non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37160" cy="137160"/>
                  <wp:effectExtent l="0" t="0" r="0" b="0"/>
                  <wp:docPr id="127" name="Image127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7" name="Image127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160" cy="1371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127" w:name="i-127"/>
            <w:bookmarkEnd w:id="127"/>
          </w:p>
        </w:tc>
        <w:tc>
          <w:tcPr>
            <w:tcW w:w="302" w:type="dxa"/>
            <w:tcBorders>
              <w:left w:val="single" w:sz="2" w:space="0" w:color="8C8D8F"/>
              <w:right w:val="single" w:sz="2" w:space="0" w:color="8C8D8F"/>
            </w:tcBorders>
            <w:shd w:fill="EBEDEF" w:val="clear"/>
            <w:tcMar>
              <w:top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EBEDEF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EBEDEF"/>
                <w:u w:val="none"/>
                <w:effect w:val="non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37160" cy="137160"/>
                  <wp:effectExtent l="0" t="0" r="0" b="0"/>
                  <wp:docPr id="128" name="Image128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8" name="Image128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160" cy="1371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128" w:name="i-128"/>
            <w:bookmarkEnd w:id="128"/>
          </w:p>
        </w:tc>
        <w:tc>
          <w:tcPr>
            <w:tcW w:w="302" w:type="dxa"/>
            <w:tcBorders>
              <w:left w:val="single" w:sz="2" w:space="0" w:color="8C8D8F"/>
              <w:right w:val="single" w:sz="2" w:space="0" w:color="8C8D8F"/>
            </w:tcBorders>
            <w:shd w:fill="EBEDEF" w:val="clear"/>
            <w:tcMar>
              <w:top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EBEDEF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EBEDEF"/>
                <w:u w:val="none"/>
                <w:effect w:val="non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37160" cy="137160"/>
                  <wp:effectExtent l="0" t="0" r="0" b="0"/>
                  <wp:docPr id="129" name="Image129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9" name="Image129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160" cy="1371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129" w:name="i-129"/>
            <w:bookmarkEnd w:id="129"/>
          </w:p>
        </w:tc>
        <w:tc>
          <w:tcPr>
            <w:tcW w:w="302" w:type="dxa"/>
            <w:tcBorders>
              <w:left w:val="single" w:sz="2" w:space="0" w:color="8C8D8F"/>
              <w:right w:val="single" w:sz="2" w:space="0" w:color="8C8D8F"/>
            </w:tcBorders>
            <w:shd w:fill="EBEDEF" w:val="clear"/>
            <w:tcMar>
              <w:top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EBEDEF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EBEDEF"/>
                <w:u w:val="none"/>
                <w:effect w:val="non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37160" cy="137160"/>
                  <wp:effectExtent l="0" t="0" r="0" b="0"/>
                  <wp:docPr id="130" name="Image130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0" name="Image130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160" cy="1371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130" w:name="i-130"/>
            <w:bookmarkEnd w:id="130"/>
          </w:p>
        </w:tc>
        <w:tc>
          <w:tcPr>
            <w:tcW w:w="302" w:type="dxa"/>
            <w:tcBorders>
              <w:left w:val="single" w:sz="2" w:space="0" w:color="8C8D8F"/>
              <w:right w:val="single" w:sz="2" w:space="0" w:color="8C8D8F"/>
            </w:tcBorders>
            <w:shd w:fill="EBEDEF" w:val="clear"/>
            <w:tcMar>
              <w:top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EBEDEF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EBEDEF"/>
                <w:u w:val="none"/>
                <w:effect w:val="non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37160" cy="137160"/>
                  <wp:effectExtent l="0" t="0" r="0" b="0"/>
                  <wp:docPr id="131" name="Image13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1" name="Image13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160" cy="1371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131" w:name="i-131"/>
            <w:bookmarkEnd w:id="131"/>
          </w:p>
        </w:tc>
        <w:tc>
          <w:tcPr>
            <w:tcW w:w="302" w:type="dxa"/>
            <w:tcBorders>
              <w:left w:val="single" w:sz="2" w:space="0" w:color="8C8D8F"/>
              <w:right w:val="single" w:sz="2" w:space="0" w:color="8C8D8F"/>
            </w:tcBorders>
            <w:shd w:fill="EBEDEF" w:val="clear"/>
            <w:tcMar>
              <w:top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EBEDEF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EBEDEF"/>
                <w:u w:val="none"/>
                <w:effect w:val="non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37160" cy="137160"/>
                  <wp:effectExtent l="0" t="0" r="0" b="0"/>
                  <wp:docPr id="132" name="Image13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2" name="Image13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160" cy="1371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132" w:name="i-132"/>
            <w:bookmarkEnd w:id="132"/>
          </w:p>
        </w:tc>
        <w:tc>
          <w:tcPr>
            <w:tcW w:w="347" w:type="dxa"/>
            <w:tcBorders>
              <w:left w:val="single" w:sz="2" w:space="0" w:color="8C8D8F"/>
            </w:tcBorders>
            <w:shd w:fill="EBEDEF" w:val="clear"/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</w:rPr>
            </w:pPr>
            <w:r>
              <w:rPr>
                <w:caps w:val="false"/>
                <w:smallCaps w:val="fals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37160" cy="137160"/>
                  <wp:effectExtent l="0" t="0" r="0" b="0"/>
                  <wp:docPr id="133" name="Image133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3" name="Image133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160" cy="1371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133" w:name="i-133"/>
            <w:bookmarkEnd w:id="133"/>
          </w:p>
        </w:tc>
      </w:tr>
      <w:tr>
        <w:trPr/>
        <w:tc>
          <w:tcPr>
            <w:tcW w:w="5401" w:type="dxa"/>
            <w:tcBorders>
              <w:bottom w:val="single" w:sz="2" w:space="0" w:color="8C8D8F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bottom w:val="single" w:sz="2" w:space="0" w:color="8C8D8F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bottom w:val="single" w:sz="2" w:space="0" w:color="8C8D8F"/>
              <w:right w:val="single" w:sz="2" w:space="0" w:color="8C8D8F"/>
            </w:tcBorders>
            <w:shd w:fill="EBEDEF" w:val="clear"/>
            <w:tcMar>
              <w:top w:w="0" w:type="dxa"/>
              <w:lef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left w:val="single" w:sz="2" w:space="0" w:color="8C8D8F"/>
              <w:bottom w:val="single" w:sz="2" w:space="0" w:color="8C8D8F"/>
              <w:right w:val="single" w:sz="2" w:space="0" w:color="8C8D8F"/>
            </w:tcBorders>
            <w:shd w:fill="EBEDEF" w:val="clear"/>
            <w:tcMar>
              <w:top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left w:val="single" w:sz="2" w:space="0" w:color="8C8D8F"/>
              <w:bottom w:val="single" w:sz="2" w:space="0" w:color="8C8D8F"/>
              <w:right w:val="single" w:sz="2" w:space="0" w:color="8C8D8F"/>
            </w:tcBorders>
            <w:shd w:fill="EBEDEF" w:val="clear"/>
            <w:tcMar>
              <w:top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left w:val="single" w:sz="2" w:space="0" w:color="8C8D8F"/>
              <w:bottom w:val="single" w:sz="2" w:space="0" w:color="8C8D8F"/>
              <w:right w:val="single" w:sz="2" w:space="0" w:color="8C8D8F"/>
            </w:tcBorders>
            <w:shd w:fill="EBEDEF" w:val="clear"/>
            <w:tcMar>
              <w:top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left w:val="single" w:sz="2" w:space="0" w:color="8C8D8F"/>
              <w:bottom w:val="single" w:sz="2" w:space="0" w:color="8C8D8F"/>
              <w:right w:val="single" w:sz="2" w:space="0" w:color="8C8D8F"/>
            </w:tcBorders>
            <w:shd w:fill="EBEDEF" w:val="clear"/>
            <w:tcMar>
              <w:top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left w:val="single" w:sz="2" w:space="0" w:color="8C8D8F"/>
              <w:bottom w:val="single" w:sz="2" w:space="0" w:color="8C8D8F"/>
              <w:right w:val="single" w:sz="2" w:space="0" w:color="8C8D8F"/>
            </w:tcBorders>
            <w:shd w:fill="EBEDEF" w:val="clear"/>
            <w:tcMar>
              <w:top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left w:val="single" w:sz="2" w:space="0" w:color="8C8D8F"/>
              <w:bottom w:val="single" w:sz="2" w:space="0" w:color="8C8D8F"/>
              <w:right w:val="single" w:sz="2" w:space="0" w:color="8C8D8F"/>
            </w:tcBorders>
            <w:shd w:fill="EBEDEF" w:val="clear"/>
            <w:tcMar>
              <w:top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left w:val="single" w:sz="2" w:space="0" w:color="8C8D8F"/>
              <w:bottom w:val="single" w:sz="2" w:space="0" w:color="8C8D8F"/>
              <w:right w:val="single" w:sz="2" w:space="0" w:color="8C8D8F"/>
            </w:tcBorders>
            <w:shd w:fill="EBEDEF" w:val="clear"/>
            <w:tcMar>
              <w:top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left w:val="single" w:sz="2" w:space="0" w:color="8C8D8F"/>
              <w:bottom w:val="single" w:sz="2" w:space="0" w:color="8C8D8F"/>
              <w:right w:val="single" w:sz="2" w:space="0" w:color="8C8D8F"/>
            </w:tcBorders>
            <w:shd w:fill="EBEDEF" w:val="clear"/>
            <w:tcMar>
              <w:top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7" w:type="dxa"/>
            <w:tcBorders>
              <w:left w:val="single" w:sz="2" w:space="0" w:color="8C8D8F"/>
              <w:bottom w:val="single" w:sz="2" w:space="0" w:color="8C8D8F"/>
            </w:tcBorders>
            <w:shd w:fill="EBEDEF" w:val="clear"/>
            <w:tcMar>
              <w:top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5401" w:type="dxa"/>
            <w:tcBorders>
              <w:top w:val="single" w:sz="2" w:space="0" w:color="8C8D8F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top w:val="single" w:sz="2" w:space="0" w:color="8C8D8F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top w:val="single" w:sz="2" w:space="0" w:color="8C8D8F"/>
              <w:right w:val="single" w:sz="2" w:space="0" w:color="8C8D8F"/>
            </w:tcBorders>
            <w:shd w:fill="EBEDEF" w:val="clear"/>
            <w:tcMar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top w:val="single" w:sz="2" w:space="0" w:color="8C8D8F"/>
              <w:left w:val="single" w:sz="2" w:space="0" w:color="8C8D8F"/>
              <w:right w:val="single" w:sz="2" w:space="0" w:color="8C8D8F"/>
            </w:tcBorders>
            <w:shd w:fill="EBEDEF" w:val="clear"/>
            <w:tcMar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top w:val="single" w:sz="2" w:space="0" w:color="8C8D8F"/>
              <w:left w:val="single" w:sz="2" w:space="0" w:color="8C8D8F"/>
              <w:right w:val="single" w:sz="2" w:space="0" w:color="8C8D8F"/>
            </w:tcBorders>
            <w:shd w:fill="EBEDEF" w:val="clear"/>
            <w:tcMar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top w:val="single" w:sz="2" w:space="0" w:color="8C8D8F"/>
              <w:left w:val="single" w:sz="2" w:space="0" w:color="8C8D8F"/>
              <w:right w:val="single" w:sz="2" w:space="0" w:color="8C8D8F"/>
            </w:tcBorders>
            <w:shd w:fill="EBEDEF" w:val="clear"/>
            <w:tcMar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top w:val="single" w:sz="2" w:space="0" w:color="8C8D8F"/>
              <w:left w:val="single" w:sz="2" w:space="0" w:color="8C8D8F"/>
              <w:right w:val="single" w:sz="2" w:space="0" w:color="8C8D8F"/>
            </w:tcBorders>
            <w:shd w:fill="EBEDEF" w:val="clear"/>
            <w:tcMar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top w:val="single" w:sz="2" w:space="0" w:color="8C8D8F"/>
              <w:left w:val="single" w:sz="2" w:space="0" w:color="8C8D8F"/>
              <w:right w:val="single" w:sz="2" w:space="0" w:color="8C8D8F"/>
            </w:tcBorders>
            <w:shd w:fill="EBEDEF" w:val="clear"/>
            <w:tcMar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top w:val="single" w:sz="2" w:space="0" w:color="8C8D8F"/>
              <w:left w:val="single" w:sz="2" w:space="0" w:color="8C8D8F"/>
              <w:right w:val="single" w:sz="2" w:space="0" w:color="8C8D8F"/>
            </w:tcBorders>
            <w:shd w:fill="EBEDEF" w:val="clear"/>
            <w:tcMar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top w:val="single" w:sz="2" w:space="0" w:color="8C8D8F"/>
              <w:left w:val="single" w:sz="2" w:space="0" w:color="8C8D8F"/>
              <w:right w:val="single" w:sz="2" w:space="0" w:color="8C8D8F"/>
            </w:tcBorders>
            <w:shd w:fill="EBEDEF" w:val="clear"/>
            <w:tcMar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top w:val="single" w:sz="2" w:space="0" w:color="8C8D8F"/>
              <w:left w:val="single" w:sz="2" w:space="0" w:color="8C8D8F"/>
              <w:right w:val="single" w:sz="2" w:space="0" w:color="8C8D8F"/>
            </w:tcBorders>
            <w:shd w:fill="EBEDEF" w:val="clear"/>
            <w:tcMar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7" w:type="dxa"/>
            <w:tcBorders>
              <w:top w:val="single" w:sz="2" w:space="0" w:color="8C8D8F"/>
              <w:left w:val="single" w:sz="2" w:space="0" w:color="8C8D8F"/>
            </w:tcBorders>
            <w:shd w:fill="EBEDEF" w:val="clear"/>
            <w:tcMar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5401" w:type="dxa"/>
            <w:tcBorders/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both"/>
              <w:rPr>
                <w:rFonts w:ascii="Arial;sans-serif" w:hAnsi="Arial;sans-serif"/>
                <w:b/>
                <w:i w:val="false"/>
                <w:caps w:val="false"/>
                <w:smallCaps w:val="false"/>
                <w:sz w:val="17"/>
                <w:u w:val="singl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z w:val="17"/>
                <w:u w:val="single"/>
              </w:rPr>
              <w:t>Education Experience:</w:t>
            </w:r>
          </w:p>
          <w:p>
            <w:pPr>
              <w:pStyle w:val="TableContents"/>
              <w:bidi w:val="0"/>
              <w:spacing w:lineRule="atLeast" w:line="15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5"/>
                <w:u w:val="single"/>
              </w:rPr>
              <w:t>Strengthens oversight of the Company’s employee development and</w:t>
            </w:r>
            <w:r>
              <w:rPr>
                <w:caps w:val="false"/>
                <w:smallCaps w:val="false"/>
                <w:u w:val="singl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50" w:before="0" w:after="0"/>
              <w:jc w:val="both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5"/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5"/>
                <w:u w:val="single"/>
              </w:rPr>
              <w:t>training programs and policies.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right w:val="single" w:sz="2" w:space="0" w:color="8C8D8F"/>
            </w:tcBorders>
            <w:shd w:fill="EBEDEF" w:val="clear"/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302" w:type="dxa"/>
            <w:tcBorders>
              <w:left w:val="single" w:sz="2" w:space="0" w:color="8C8D8F"/>
              <w:right w:val="single" w:sz="2" w:space="0" w:color="8C8D8F"/>
            </w:tcBorders>
            <w:shd w:fill="EBEDEF" w:val="clear"/>
            <w:tcMar>
              <w:top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EBEDEF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EBEDEF"/>
                <w:u w:val="none"/>
                <w:effect w:val="non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37160" cy="137160"/>
                  <wp:effectExtent l="0" t="0" r="0" b="0"/>
                  <wp:docPr id="134" name="Image134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4" name="Image134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160" cy="1371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134" w:name="i-134"/>
            <w:bookmarkEnd w:id="134"/>
          </w:p>
        </w:tc>
        <w:tc>
          <w:tcPr>
            <w:tcW w:w="302" w:type="dxa"/>
            <w:tcBorders>
              <w:left w:val="single" w:sz="2" w:space="0" w:color="8C8D8F"/>
              <w:right w:val="single" w:sz="2" w:space="0" w:color="8C8D8F"/>
            </w:tcBorders>
            <w:shd w:fill="EBEDEF" w:val="clear"/>
            <w:tcMar>
              <w:top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302" w:type="dxa"/>
            <w:tcBorders>
              <w:left w:val="single" w:sz="2" w:space="0" w:color="8C8D8F"/>
              <w:right w:val="single" w:sz="2" w:space="0" w:color="8C8D8F"/>
            </w:tcBorders>
            <w:shd w:fill="EBEDEF" w:val="clear"/>
            <w:tcMar>
              <w:top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302" w:type="dxa"/>
            <w:tcBorders>
              <w:left w:val="single" w:sz="2" w:space="0" w:color="8C8D8F"/>
              <w:right w:val="single" w:sz="2" w:space="0" w:color="8C8D8F"/>
            </w:tcBorders>
            <w:shd w:fill="EBEDEF" w:val="clear"/>
            <w:tcMar>
              <w:top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302" w:type="dxa"/>
            <w:tcBorders>
              <w:left w:val="single" w:sz="2" w:space="0" w:color="8C8D8F"/>
              <w:right w:val="single" w:sz="2" w:space="0" w:color="8C8D8F"/>
            </w:tcBorders>
            <w:shd w:fill="EBEDEF" w:val="clear"/>
            <w:tcMar>
              <w:top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EBEDEF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EBEDEF"/>
                <w:u w:val="none"/>
                <w:effect w:val="non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37160" cy="137160"/>
                  <wp:effectExtent l="0" t="0" r="0" b="0"/>
                  <wp:docPr id="135" name="Image135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5" name="Image135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160" cy="1371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135" w:name="i-135"/>
            <w:bookmarkEnd w:id="135"/>
          </w:p>
        </w:tc>
        <w:tc>
          <w:tcPr>
            <w:tcW w:w="302" w:type="dxa"/>
            <w:tcBorders>
              <w:left w:val="single" w:sz="2" w:space="0" w:color="8C8D8F"/>
              <w:right w:val="single" w:sz="2" w:space="0" w:color="8C8D8F"/>
            </w:tcBorders>
            <w:shd w:fill="EBEDEF" w:val="clear"/>
            <w:tcMar>
              <w:top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EBEDEF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EBEDEF"/>
                <w:u w:val="none"/>
                <w:effect w:val="non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37160" cy="137160"/>
                  <wp:effectExtent l="0" t="0" r="0" b="0"/>
                  <wp:docPr id="136" name="Image136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6" name="Image136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160" cy="1371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136" w:name="i-136"/>
            <w:bookmarkEnd w:id="136"/>
          </w:p>
        </w:tc>
        <w:tc>
          <w:tcPr>
            <w:tcW w:w="302" w:type="dxa"/>
            <w:tcBorders>
              <w:left w:val="single" w:sz="2" w:space="0" w:color="8C8D8F"/>
              <w:right w:val="single" w:sz="2" w:space="0" w:color="8C8D8F"/>
            </w:tcBorders>
            <w:shd w:fill="EBEDEF" w:val="clear"/>
            <w:tcMar>
              <w:top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302" w:type="dxa"/>
            <w:tcBorders>
              <w:left w:val="single" w:sz="2" w:space="0" w:color="8C8D8F"/>
              <w:right w:val="single" w:sz="2" w:space="0" w:color="8C8D8F"/>
            </w:tcBorders>
            <w:shd w:fill="EBEDEF" w:val="clear"/>
            <w:tcMar>
              <w:top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347" w:type="dxa"/>
            <w:tcBorders>
              <w:left w:val="single" w:sz="2" w:space="0" w:color="8C8D8F"/>
            </w:tcBorders>
            <w:shd w:fill="EBEDEF" w:val="clear"/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</w:tr>
      <w:tr>
        <w:trPr/>
        <w:tc>
          <w:tcPr>
            <w:tcW w:w="5401" w:type="dxa"/>
            <w:tcBorders>
              <w:bottom w:val="single" w:sz="2" w:space="0" w:color="8C8D8F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bottom w:val="single" w:sz="2" w:space="0" w:color="8C8D8F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bottom w:val="single" w:sz="2" w:space="0" w:color="8C8D8F"/>
              <w:right w:val="single" w:sz="2" w:space="0" w:color="8C8D8F"/>
            </w:tcBorders>
            <w:shd w:fill="EBEDEF" w:val="clear"/>
            <w:tcMar>
              <w:top w:w="0" w:type="dxa"/>
              <w:lef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left w:val="single" w:sz="2" w:space="0" w:color="8C8D8F"/>
              <w:bottom w:val="single" w:sz="2" w:space="0" w:color="8C8D8F"/>
              <w:right w:val="single" w:sz="2" w:space="0" w:color="8C8D8F"/>
            </w:tcBorders>
            <w:shd w:fill="EBEDEF" w:val="clear"/>
            <w:tcMar>
              <w:top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left w:val="single" w:sz="2" w:space="0" w:color="8C8D8F"/>
              <w:bottom w:val="single" w:sz="2" w:space="0" w:color="8C8D8F"/>
              <w:right w:val="single" w:sz="2" w:space="0" w:color="8C8D8F"/>
            </w:tcBorders>
            <w:shd w:fill="EBEDEF" w:val="clear"/>
            <w:tcMar>
              <w:top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left w:val="single" w:sz="2" w:space="0" w:color="8C8D8F"/>
              <w:bottom w:val="single" w:sz="2" w:space="0" w:color="8C8D8F"/>
              <w:right w:val="single" w:sz="2" w:space="0" w:color="8C8D8F"/>
            </w:tcBorders>
            <w:shd w:fill="EBEDEF" w:val="clear"/>
            <w:tcMar>
              <w:top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left w:val="single" w:sz="2" w:space="0" w:color="8C8D8F"/>
              <w:bottom w:val="single" w:sz="2" w:space="0" w:color="8C8D8F"/>
              <w:right w:val="single" w:sz="2" w:space="0" w:color="8C8D8F"/>
            </w:tcBorders>
            <w:shd w:fill="EBEDEF" w:val="clear"/>
            <w:tcMar>
              <w:top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left w:val="single" w:sz="2" w:space="0" w:color="8C8D8F"/>
              <w:bottom w:val="single" w:sz="2" w:space="0" w:color="8C8D8F"/>
              <w:right w:val="single" w:sz="2" w:space="0" w:color="8C8D8F"/>
            </w:tcBorders>
            <w:shd w:fill="EBEDEF" w:val="clear"/>
            <w:tcMar>
              <w:top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left w:val="single" w:sz="2" w:space="0" w:color="8C8D8F"/>
              <w:bottom w:val="single" w:sz="2" w:space="0" w:color="8C8D8F"/>
              <w:right w:val="single" w:sz="2" w:space="0" w:color="8C8D8F"/>
            </w:tcBorders>
            <w:shd w:fill="EBEDEF" w:val="clear"/>
            <w:tcMar>
              <w:top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left w:val="single" w:sz="2" w:space="0" w:color="8C8D8F"/>
              <w:bottom w:val="single" w:sz="2" w:space="0" w:color="8C8D8F"/>
              <w:right w:val="single" w:sz="2" w:space="0" w:color="8C8D8F"/>
            </w:tcBorders>
            <w:shd w:fill="EBEDEF" w:val="clear"/>
            <w:tcMar>
              <w:top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left w:val="single" w:sz="2" w:space="0" w:color="8C8D8F"/>
              <w:bottom w:val="single" w:sz="2" w:space="0" w:color="8C8D8F"/>
              <w:right w:val="single" w:sz="2" w:space="0" w:color="8C8D8F"/>
            </w:tcBorders>
            <w:shd w:fill="EBEDEF" w:val="clear"/>
            <w:tcMar>
              <w:top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7" w:type="dxa"/>
            <w:tcBorders>
              <w:left w:val="single" w:sz="2" w:space="0" w:color="8C8D8F"/>
              <w:bottom w:val="single" w:sz="2" w:space="0" w:color="8C8D8F"/>
            </w:tcBorders>
            <w:shd w:fill="EBEDEF" w:val="clear"/>
            <w:tcMar>
              <w:top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5401" w:type="dxa"/>
            <w:tcBorders>
              <w:top w:val="single" w:sz="2" w:space="0" w:color="8C8D8F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top w:val="single" w:sz="2" w:space="0" w:color="8C8D8F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top w:val="single" w:sz="2" w:space="0" w:color="8C8D8F"/>
              <w:right w:val="single" w:sz="2" w:space="0" w:color="8C8D8F"/>
            </w:tcBorders>
            <w:shd w:fill="EBEDEF" w:val="clear"/>
            <w:tcMar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top w:val="single" w:sz="2" w:space="0" w:color="8C8D8F"/>
              <w:left w:val="single" w:sz="2" w:space="0" w:color="8C8D8F"/>
              <w:right w:val="single" w:sz="2" w:space="0" w:color="8C8D8F"/>
            </w:tcBorders>
            <w:shd w:fill="EBEDEF" w:val="clear"/>
            <w:tcMar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top w:val="single" w:sz="2" w:space="0" w:color="8C8D8F"/>
              <w:left w:val="single" w:sz="2" w:space="0" w:color="8C8D8F"/>
              <w:right w:val="single" w:sz="2" w:space="0" w:color="8C8D8F"/>
            </w:tcBorders>
            <w:shd w:fill="EBEDEF" w:val="clear"/>
            <w:tcMar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top w:val="single" w:sz="2" w:space="0" w:color="8C8D8F"/>
              <w:left w:val="single" w:sz="2" w:space="0" w:color="8C8D8F"/>
              <w:right w:val="single" w:sz="2" w:space="0" w:color="8C8D8F"/>
            </w:tcBorders>
            <w:shd w:fill="EBEDEF" w:val="clear"/>
            <w:tcMar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top w:val="single" w:sz="2" w:space="0" w:color="8C8D8F"/>
              <w:left w:val="single" w:sz="2" w:space="0" w:color="8C8D8F"/>
              <w:right w:val="single" w:sz="2" w:space="0" w:color="8C8D8F"/>
            </w:tcBorders>
            <w:shd w:fill="EBEDEF" w:val="clear"/>
            <w:tcMar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top w:val="single" w:sz="2" w:space="0" w:color="8C8D8F"/>
              <w:left w:val="single" w:sz="2" w:space="0" w:color="8C8D8F"/>
              <w:right w:val="single" w:sz="2" w:space="0" w:color="8C8D8F"/>
            </w:tcBorders>
            <w:shd w:fill="EBEDEF" w:val="clear"/>
            <w:tcMar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top w:val="single" w:sz="2" w:space="0" w:color="8C8D8F"/>
              <w:left w:val="single" w:sz="2" w:space="0" w:color="8C8D8F"/>
              <w:right w:val="single" w:sz="2" w:space="0" w:color="8C8D8F"/>
            </w:tcBorders>
            <w:shd w:fill="EBEDEF" w:val="clear"/>
            <w:tcMar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top w:val="single" w:sz="2" w:space="0" w:color="8C8D8F"/>
              <w:left w:val="single" w:sz="2" w:space="0" w:color="8C8D8F"/>
              <w:right w:val="single" w:sz="2" w:space="0" w:color="8C8D8F"/>
            </w:tcBorders>
            <w:shd w:fill="EBEDEF" w:val="clear"/>
            <w:tcMar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top w:val="single" w:sz="2" w:space="0" w:color="8C8D8F"/>
              <w:left w:val="single" w:sz="2" w:space="0" w:color="8C8D8F"/>
              <w:right w:val="single" w:sz="2" w:space="0" w:color="8C8D8F"/>
            </w:tcBorders>
            <w:shd w:fill="EBEDEF" w:val="clear"/>
            <w:tcMar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7" w:type="dxa"/>
            <w:tcBorders>
              <w:top w:val="single" w:sz="2" w:space="0" w:color="8C8D8F"/>
              <w:left w:val="single" w:sz="2" w:space="0" w:color="8C8D8F"/>
            </w:tcBorders>
            <w:shd w:fill="EBEDEF" w:val="clear"/>
            <w:tcMar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5401" w:type="dxa"/>
            <w:tcBorders/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both"/>
              <w:rPr>
                <w:rFonts w:ascii="Arial;sans-serif" w:hAnsi="Arial;sans-serif"/>
                <w:b/>
                <w:i w:val="false"/>
                <w:caps w:val="false"/>
                <w:smallCaps w:val="false"/>
                <w:sz w:val="17"/>
                <w:u w:val="singl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z w:val="17"/>
                <w:u w:val="single"/>
              </w:rPr>
              <w:t>Entertainment &amp; Media Expertise:</w:t>
            </w:r>
          </w:p>
          <w:p>
            <w:pPr>
              <w:pStyle w:val="TableContents"/>
              <w:bidi w:val="0"/>
              <w:spacing w:lineRule="atLeast" w:line="15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5"/>
                <w:u w:val="single"/>
              </w:rPr>
              <w:t>Ensures that the Board of Directors can effectively oversee strategic</w:t>
            </w:r>
            <w:r>
              <w:rPr>
                <w:caps w:val="false"/>
                <w:smallCaps w:val="false"/>
                <w:u w:val="singl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50" w:before="0" w:after="0"/>
              <w:jc w:val="both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5"/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5"/>
                <w:u w:val="single"/>
              </w:rPr>
              <w:t>decisions in our industry.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right w:val="single" w:sz="2" w:space="0" w:color="8C8D8F"/>
            </w:tcBorders>
            <w:shd w:fill="EBEDEF" w:val="clear"/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EBEDEF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EBEDEF"/>
                <w:u w:val="none"/>
                <w:effect w:val="non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37160" cy="137160"/>
                  <wp:effectExtent l="0" t="0" r="0" b="0"/>
                  <wp:docPr id="137" name="Image137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7" name="Image137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160" cy="1371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137" w:name="i-137"/>
            <w:bookmarkEnd w:id="137"/>
          </w:p>
        </w:tc>
        <w:tc>
          <w:tcPr>
            <w:tcW w:w="302" w:type="dxa"/>
            <w:tcBorders>
              <w:left w:val="single" w:sz="2" w:space="0" w:color="8C8D8F"/>
              <w:right w:val="single" w:sz="2" w:space="0" w:color="8C8D8F"/>
            </w:tcBorders>
            <w:shd w:fill="EBEDEF" w:val="clear"/>
            <w:tcMar>
              <w:top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EBEDEF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EBEDEF"/>
                <w:u w:val="none"/>
                <w:effect w:val="non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37160" cy="137160"/>
                  <wp:effectExtent l="0" t="0" r="0" b="0"/>
                  <wp:docPr id="138" name="Image138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8" name="Image138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160" cy="1371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138" w:name="i-138"/>
            <w:bookmarkEnd w:id="138"/>
          </w:p>
        </w:tc>
        <w:tc>
          <w:tcPr>
            <w:tcW w:w="302" w:type="dxa"/>
            <w:tcBorders>
              <w:left w:val="single" w:sz="2" w:space="0" w:color="8C8D8F"/>
              <w:right w:val="single" w:sz="2" w:space="0" w:color="8C8D8F"/>
            </w:tcBorders>
            <w:shd w:fill="EBEDEF" w:val="clear"/>
            <w:tcMar>
              <w:top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EBEDEF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EBEDEF"/>
                <w:u w:val="none"/>
                <w:effect w:val="non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37160" cy="137160"/>
                  <wp:effectExtent l="0" t="0" r="0" b="0"/>
                  <wp:docPr id="139" name="Image139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9" name="Image139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160" cy="1371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139" w:name="i-139"/>
            <w:bookmarkEnd w:id="139"/>
          </w:p>
        </w:tc>
        <w:tc>
          <w:tcPr>
            <w:tcW w:w="302" w:type="dxa"/>
            <w:tcBorders>
              <w:left w:val="single" w:sz="2" w:space="0" w:color="8C8D8F"/>
              <w:right w:val="single" w:sz="2" w:space="0" w:color="8C8D8F"/>
            </w:tcBorders>
            <w:shd w:fill="EBEDEF" w:val="clear"/>
            <w:tcMar>
              <w:top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EBEDEF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EBEDEF"/>
                <w:u w:val="none"/>
                <w:effect w:val="non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37160" cy="137160"/>
                  <wp:effectExtent l="0" t="0" r="0" b="0"/>
                  <wp:docPr id="140" name="Image140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0" name="Image140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160" cy="1371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140" w:name="i-140"/>
            <w:bookmarkEnd w:id="140"/>
          </w:p>
        </w:tc>
        <w:tc>
          <w:tcPr>
            <w:tcW w:w="302" w:type="dxa"/>
            <w:tcBorders>
              <w:left w:val="single" w:sz="2" w:space="0" w:color="8C8D8F"/>
              <w:right w:val="single" w:sz="2" w:space="0" w:color="8C8D8F"/>
            </w:tcBorders>
            <w:shd w:fill="EBEDEF" w:val="clear"/>
            <w:tcMar>
              <w:top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EBEDEF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EBEDEF"/>
                <w:u w:val="none"/>
                <w:effect w:val="non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37160" cy="137160"/>
                  <wp:effectExtent l="0" t="0" r="0" b="0"/>
                  <wp:docPr id="141" name="Image14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1" name="Image14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160" cy="1371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141" w:name="i-141"/>
            <w:bookmarkEnd w:id="141"/>
          </w:p>
        </w:tc>
        <w:tc>
          <w:tcPr>
            <w:tcW w:w="302" w:type="dxa"/>
            <w:tcBorders>
              <w:left w:val="single" w:sz="2" w:space="0" w:color="8C8D8F"/>
              <w:right w:val="single" w:sz="2" w:space="0" w:color="8C8D8F"/>
            </w:tcBorders>
            <w:shd w:fill="EBEDEF" w:val="clear"/>
            <w:tcMar>
              <w:top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EBEDEF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EBEDEF"/>
                <w:u w:val="none"/>
                <w:effect w:val="non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37160" cy="137160"/>
                  <wp:effectExtent l="0" t="0" r="0" b="0"/>
                  <wp:docPr id="142" name="Image14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2" name="Image14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160" cy="1371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142" w:name="i-142"/>
            <w:bookmarkEnd w:id="142"/>
          </w:p>
        </w:tc>
        <w:tc>
          <w:tcPr>
            <w:tcW w:w="302" w:type="dxa"/>
            <w:tcBorders>
              <w:left w:val="single" w:sz="2" w:space="0" w:color="8C8D8F"/>
              <w:right w:val="single" w:sz="2" w:space="0" w:color="8C8D8F"/>
            </w:tcBorders>
            <w:shd w:fill="EBEDEF" w:val="clear"/>
            <w:tcMar>
              <w:top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EBEDEF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EBEDEF"/>
                <w:u w:val="none"/>
                <w:effect w:val="non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37160" cy="137160"/>
                  <wp:effectExtent l="0" t="0" r="0" b="0"/>
                  <wp:docPr id="143" name="Image143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3" name="Image143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160" cy="1371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143" w:name="i-143"/>
            <w:bookmarkEnd w:id="143"/>
          </w:p>
        </w:tc>
        <w:tc>
          <w:tcPr>
            <w:tcW w:w="302" w:type="dxa"/>
            <w:tcBorders>
              <w:left w:val="single" w:sz="2" w:space="0" w:color="8C8D8F"/>
              <w:right w:val="single" w:sz="2" w:space="0" w:color="8C8D8F"/>
            </w:tcBorders>
            <w:shd w:fill="EBEDEF" w:val="clear"/>
            <w:tcMar>
              <w:top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EBEDEF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EBEDEF"/>
                <w:u w:val="none"/>
                <w:effect w:val="non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37160" cy="137160"/>
                  <wp:effectExtent l="0" t="0" r="0" b="0"/>
                  <wp:docPr id="144" name="Image144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4" name="Image144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160" cy="1371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144" w:name="i-144"/>
            <w:bookmarkEnd w:id="144"/>
          </w:p>
        </w:tc>
        <w:tc>
          <w:tcPr>
            <w:tcW w:w="302" w:type="dxa"/>
            <w:tcBorders>
              <w:left w:val="single" w:sz="2" w:space="0" w:color="8C8D8F"/>
              <w:right w:val="single" w:sz="2" w:space="0" w:color="8C8D8F"/>
            </w:tcBorders>
            <w:shd w:fill="EBEDEF" w:val="clear"/>
            <w:tcMar>
              <w:top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347" w:type="dxa"/>
            <w:tcBorders>
              <w:left w:val="single" w:sz="2" w:space="0" w:color="8C8D8F"/>
            </w:tcBorders>
            <w:shd w:fill="EBEDEF" w:val="clear"/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</w:rPr>
            </w:pPr>
            <w:r>
              <w:rPr>
                <w:caps w:val="false"/>
                <w:smallCaps w:val="fals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37160" cy="137160"/>
                  <wp:effectExtent l="0" t="0" r="0" b="0"/>
                  <wp:docPr id="145" name="Image145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5" name="Image145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160" cy="1371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145" w:name="i-145"/>
            <w:bookmarkEnd w:id="145"/>
          </w:p>
        </w:tc>
      </w:tr>
      <w:tr>
        <w:trPr/>
        <w:tc>
          <w:tcPr>
            <w:tcW w:w="5401" w:type="dxa"/>
            <w:tcBorders>
              <w:bottom w:val="single" w:sz="2" w:space="0" w:color="8C8D8F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bottom w:val="single" w:sz="2" w:space="0" w:color="8C8D8F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bottom w:val="single" w:sz="2" w:space="0" w:color="8C8D8F"/>
              <w:right w:val="single" w:sz="2" w:space="0" w:color="8C8D8F"/>
            </w:tcBorders>
            <w:shd w:fill="EBEDEF" w:val="clear"/>
            <w:tcMar>
              <w:top w:w="0" w:type="dxa"/>
              <w:lef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left w:val="single" w:sz="2" w:space="0" w:color="8C8D8F"/>
              <w:bottom w:val="single" w:sz="2" w:space="0" w:color="8C8D8F"/>
              <w:right w:val="single" w:sz="2" w:space="0" w:color="8C8D8F"/>
            </w:tcBorders>
            <w:shd w:fill="EBEDEF" w:val="clear"/>
            <w:tcMar>
              <w:top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left w:val="single" w:sz="2" w:space="0" w:color="8C8D8F"/>
              <w:bottom w:val="single" w:sz="2" w:space="0" w:color="8C8D8F"/>
              <w:right w:val="single" w:sz="2" w:space="0" w:color="8C8D8F"/>
            </w:tcBorders>
            <w:shd w:fill="EBEDEF" w:val="clear"/>
            <w:tcMar>
              <w:top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left w:val="single" w:sz="2" w:space="0" w:color="8C8D8F"/>
              <w:bottom w:val="single" w:sz="2" w:space="0" w:color="8C8D8F"/>
              <w:right w:val="single" w:sz="2" w:space="0" w:color="8C8D8F"/>
            </w:tcBorders>
            <w:shd w:fill="EBEDEF" w:val="clear"/>
            <w:tcMar>
              <w:top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left w:val="single" w:sz="2" w:space="0" w:color="8C8D8F"/>
              <w:bottom w:val="single" w:sz="2" w:space="0" w:color="8C8D8F"/>
              <w:right w:val="single" w:sz="2" w:space="0" w:color="8C8D8F"/>
            </w:tcBorders>
            <w:shd w:fill="EBEDEF" w:val="clear"/>
            <w:tcMar>
              <w:top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left w:val="single" w:sz="2" w:space="0" w:color="8C8D8F"/>
              <w:bottom w:val="single" w:sz="2" w:space="0" w:color="8C8D8F"/>
              <w:right w:val="single" w:sz="2" w:space="0" w:color="8C8D8F"/>
            </w:tcBorders>
            <w:shd w:fill="EBEDEF" w:val="clear"/>
            <w:tcMar>
              <w:top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left w:val="single" w:sz="2" w:space="0" w:color="8C8D8F"/>
              <w:bottom w:val="single" w:sz="2" w:space="0" w:color="8C8D8F"/>
              <w:right w:val="single" w:sz="2" w:space="0" w:color="8C8D8F"/>
            </w:tcBorders>
            <w:shd w:fill="EBEDEF" w:val="clear"/>
            <w:tcMar>
              <w:top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left w:val="single" w:sz="2" w:space="0" w:color="8C8D8F"/>
              <w:bottom w:val="single" w:sz="2" w:space="0" w:color="8C8D8F"/>
              <w:right w:val="single" w:sz="2" w:space="0" w:color="8C8D8F"/>
            </w:tcBorders>
            <w:shd w:fill="EBEDEF" w:val="clear"/>
            <w:tcMar>
              <w:top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left w:val="single" w:sz="2" w:space="0" w:color="8C8D8F"/>
              <w:bottom w:val="single" w:sz="2" w:space="0" w:color="8C8D8F"/>
              <w:right w:val="single" w:sz="2" w:space="0" w:color="8C8D8F"/>
            </w:tcBorders>
            <w:shd w:fill="EBEDEF" w:val="clear"/>
            <w:tcMar>
              <w:top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7" w:type="dxa"/>
            <w:tcBorders>
              <w:left w:val="single" w:sz="2" w:space="0" w:color="8C8D8F"/>
              <w:bottom w:val="single" w:sz="2" w:space="0" w:color="8C8D8F"/>
            </w:tcBorders>
            <w:shd w:fill="EBEDEF" w:val="clear"/>
            <w:tcMar>
              <w:top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5401" w:type="dxa"/>
            <w:tcBorders>
              <w:top w:val="single" w:sz="2" w:space="0" w:color="8C8D8F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top w:val="single" w:sz="2" w:space="0" w:color="8C8D8F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top w:val="single" w:sz="2" w:space="0" w:color="8C8D8F"/>
              <w:right w:val="single" w:sz="2" w:space="0" w:color="8C8D8F"/>
            </w:tcBorders>
            <w:shd w:fill="EBEDEF" w:val="clear"/>
            <w:tcMar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top w:val="single" w:sz="2" w:space="0" w:color="8C8D8F"/>
              <w:left w:val="single" w:sz="2" w:space="0" w:color="8C8D8F"/>
              <w:right w:val="single" w:sz="2" w:space="0" w:color="8C8D8F"/>
            </w:tcBorders>
            <w:shd w:fill="EBEDEF" w:val="clear"/>
            <w:tcMar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top w:val="single" w:sz="2" w:space="0" w:color="8C8D8F"/>
              <w:left w:val="single" w:sz="2" w:space="0" w:color="8C8D8F"/>
              <w:right w:val="single" w:sz="2" w:space="0" w:color="8C8D8F"/>
            </w:tcBorders>
            <w:shd w:fill="EBEDEF" w:val="clear"/>
            <w:tcMar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top w:val="single" w:sz="2" w:space="0" w:color="8C8D8F"/>
              <w:left w:val="single" w:sz="2" w:space="0" w:color="8C8D8F"/>
              <w:right w:val="single" w:sz="2" w:space="0" w:color="8C8D8F"/>
            </w:tcBorders>
            <w:shd w:fill="EBEDEF" w:val="clear"/>
            <w:tcMar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top w:val="single" w:sz="2" w:space="0" w:color="8C8D8F"/>
              <w:left w:val="single" w:sz="2" w:space="0" w:color="8C8D8F"/>
              <w:right w:val="single" w:sz="2" w:space="0" w:color="8C8D8F"/>
            </w:tcBorders>
            <w:shd w:fill="EBEDEF" w:val="clear"/>
            <w:tcMar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top w:val="single" w:sz="2" w:space="0" w:color="8C8D8F"/>
              <w:left w:val="single" w:sz="2" w:space="0" w:color="8C8D8F"/>
              <w:right w:val="single" w:sz="2" w:space="0" w:color="8C8D8F"/>
            </w:tcBorders>
            <w:shd w:fill="EBEDEF" w:val="clear"/>
            <w:tcMar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top w:val="single" w:sz="2" w:space="0" w:color="8C8D8F"/>
              <w:left w:val="single" w:sz="2" w:space="0" w:color="8C8D8F"/>
              <w:right w:val="single" w:sz="2" w:space="0" w:color="8C8D8F"/>
            </w:tcBorders>
            <w:shd w:fill="EBEDEF" w:val="clear"/>
            <w:tcMar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top w:val="single" w:sz="2" w:space="0" w:color="8C8D8F"/>
              <w:left w:val="single" w:sz="2" w:space="0" w:color="8C8D8F"/>
              <w:right w:val="single" w:sz="2" w:space="0" w:color="8C8D8F"/>
            </w:tcBorders>
            <w:shd w:fill="EBEDEF" w:val="clear"/>
            <w:tcMar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top w:val="single" w:sz="2" w:space="0" w:color="8C8D8F"/>
              <w:left w:val="single" w:sz="2" w:space="0" w:color="8C8D8F"/>
              <w:right w:val="single" w:sz="2" w:space="0" w:color="8C8D8F"/>
            </w:tcBorders>
            <w:shd w:fill="EBEDEF" w:val="clear"/>
            <w:tcMar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7" w:type="dxa"/>
            <w:tcBorders>
              <w:top w:val="single" w:sz="2" w:space="0" w:color="8C8D8F"/>
              <w:left w:val="single" w:sz="2" w:space="0" w:color="8C8D8F"/>
            </w:tcBorders>
            <w:shd w:fill="EBEDEF" w:val="clear"/>
            <w:tcMar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5401" w:type="dxa"/>
            <w:tcBorders/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both"/>
              <w:rPr>
                <w:rFonts w:ascii="Arial;sans-serif" w:hAnsi="Arial;sans-serif"/>
                <w:b/>
                <w:i w:val="false"/>
                <w:caps w:val="false"/>
                <w:smallCaps w:val="false"/>
                <w:sz w:val="17"/>
                <w:u w:val="singl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z w:val="17"/>
                <w:u w:val="single"/>
              </w:rPr>
              <w:t>Financials &amp; Investment Experience:</w:t>
            </w:r>
          </w:p>
          <w:p>
            <w:pPr>
              <w:pStyle w:val="TableContents"/>
              <w:bidi w:val="0"/>
              <w:spacing w:lineRule="atLeast" w:line="15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5"/>
                <w:u w:val="single"/>
              </w:rPr>
              <w:t>Helps the Board of Directors oversee the Company’s financial</w:t>
            </w:r>
            <w:r>
              <w:rPr>
                <w:caps w:val="false"/>
                <w:smallCaps w:val="false"/>
                <w:u w:val="singl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5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5"/>
                <w:u w:val="single"/>
              </w:rPr>
              <w:t>performance and associated reporting, balance sheet strategy, and</w:t>
            </w:r>
            <w:r>
              <w:rPr>
                <w:caps w:val="false"/>
                <w:smallCaps w:val="false"/>
                <w:u w:val="singl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50" w:before="0" w:after="0"/>
              <w:jc w:val="both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5"/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5"/>
                <w:u w:val="single"/>
              </w:rPr>
              <w:t>competitive positioning.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right w:val="single" w:sz="2" w:space="0" w:color="8C8D8F"/>
            </w:tcBorders>
            <w:shd w:fill="EBEDEF" w:val="clear"/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EBEDEF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EBEDEF"/>
                <w:u w:val="none"/>
                <w:effect w:val="non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37160" cy="137160"/>
                  <wp:effectExtent l="0" t="0" r="0" b="0"/>
                  <wp:docPr id="146" name="Image146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6" name="Image146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160" cy="1371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146" w:name="i-146"/>
            <w:bookmarkEnd w:id="146"/>
          </w:p>
        </w:tc>
        <w:tc>
          <w:tcPr>
            <w:tcW w:w="302" w:type="dxa"/>
            <w:tcBorders>
              <w:left w:val="single" w:sz="2" w:space="0" w:color="8C8D8F"/>
              <w:right w:val="single" w:sz="2" w:space="0" w:color="8C8D8F"/>
            </w:tcBorders>
            <w:shd w:fill="EBEDEF" w:val="clear"/>
            <w:tcMar>
              <w:top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EBEDEF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EBEDEF"/>
                <w:u w:val="none"/>
                <w:effect w:val="non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37160" cy="137160"/>
                  <wp:effectExtent l="0" t="0" r="0" b="0"/>
                  <wp:docPr id="147" name="Image147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7" name="Image147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160" cy="1371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147" w:name="i-147"/>
            <w:bookmarkEnd w:id="147"/>
          </w:p>
        </w:tc>
        <w:tc>
          <w:tcPr>
            <w:tcW w:w="302" w:type="dxa"/>
            <w:tcBorders>
              <w:left w:val="single" w:sz="2" w:space="0" w:color="8C8D8F"/>
              <w:right w:val="single" w:sz="2" w:space="0" w:color="8C8D8F"/>
            </w:tcBorders>
            <w:shd w:fill="EBEDEF" w:val="clear"/>
            <w:tcMar>
              <w:top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EBEDEF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EBEDEF"/>
                <w:u w:val="none"/>
                <w:effect w:val="non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37160" cy="137160"/>
                  <wp:effectExtent l="0" t="0" r="0" b="0"/>
                  <wp:docPr id="148" name="Image148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8" name="Image148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160" cy="1371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148" w:name="i-148"/>
            <w:bookmarkEnd w:id="148"/>
          </w:p>
        </w:tc>
        <w:tc>
          <w:tcPr>
            <w:tcW w:w="302" w:type="dxa"/>
            <w:tcBorders>
              <w:left w:val="single" w:sz="2" w:space="0" w:color="8C8D8F"/>
              <w:right w:val="single" w:sz="2" w:space="0" w:color="8C8D8F"/>
            </w:tcBorders>
            <w:shd w:fill="EBEDEF" w:val="clear"/>
            <w:tcMar>
              <w:top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302" w:type="dxa"/>
            <w:tcBorders>
              <w:left w:val="single" w:sz="2" w:space="0" w:color="8C8D8F"/>
              <w:right w:val="single" w:sz="2" w:space="0" w:color="8C8D8F"/>
            </w:tcBorders>
            <w:shd w:fill="EBEDEF" w:val="clear"/>
            <w:tcMar>
              <w:top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302" w:type="dxa"/>
            <w:tcBorders>
              <w:left w:val="single" w:sz="2" w:space="0" w:color="8C8D8F"/>
              <w:right w:val="single" w:sz="2" w:space="0" w:color="8C8D8F"/>
            </w:tcBorders>
            <w:shd w:fill="EBEDEF" w:val="clear"/>
            <w:tcMar>
              <w:top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EBEDEF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EBEDEF"/>
                <w:u w:val="none"/>
                <w:effect w:val="non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37160" cy="137160"/>
                  <wp:effectExtent l="0" t="0" r="0" b="0"/>
                  <wp:docPr id="149" name="Image149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9" name="Image149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160" cy="1371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149" w:name="i-149"/>
            <w:bookmarkEnd w:id="149"/>
          </w:p>
        </w:tc>
        <w:tc>
          <w:tcPr>
            <w:tcW w:w="302" w:type="dxa"/>
            <w:tcBorders>
              <w:left w:val="single" w:sz="2" w:space="0" w:color="8C8D8F"/>
              <w:right w:val="single" w:sz="2" w:space="0" w:color="8C8D8F"/>
            </w:tcBorders>
            <w:shd w:fill="EBEDEF" w:val="clear"/>
            <w:tcMar>
              <w:top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302" w:type="dxa"/>
            <w:tcBorders>
              <w:left w:val="single" w:sz="2" w:space="0" w:color="8C8D8F"/>
              <w:right w:val="single" w:sz="2" w:space="0" w:color="8C8D8F"/>
            </w:tcBorders>
            <w:shd w:fill="EBEDEF" w:val="clear"/>
            <w:tcMar>
              <w:top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EBEDEF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EBEDEF"/>
                <w:u w:val="none"/>
                <w:effect w:val="non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37160" cy="137160"/>
                  <wp:effectExtent l="0" t="0" r="0" b="0"/>
                  <wp:docPr id="150" name="Image150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0" name="Image150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160" cy="1371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150" w:name="i-150"/>
            <w:bookmarkEnd w:id="150"/>
          </w:p>
        </w:tc>
        <w:tc>
          <w:tcPr>
            <w:tcW w:w="302" w:type="dxa"/>
            <w:tcBorders>
              <w:left w:val="single" w:sz="2" w:space="0" w:color="8C8D8F"/>
              <w:right w:val="single" w:sz="2" w:space="0" w:color="8C8D8F"/>
            </w:tcBorders>
            <w:shd w:fill="EBEDEF" w:val="clear"/>
            <w:tcMar>
              <w:top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EBEDEF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EBEDEF"/>
                <w:u w:val="none"/>
                <w:effect w:val="non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37160" cy="137160"/>
                  <wp:effectExtent l="0" t="0" r="0" b="0"/>
                  <wp:docPr id="151" name="Image15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1" name="Image15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160" cy="1371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151" w:name="i-151"/>
            <w:bookmarkEnd w:id="151"/>
          </w:p>
        </w:tc>
        <w:tc>
          <w:tcPr>
            <w:tcW w:w="347" w:type="dxa"/>
            <w:tcBorders>
              <w:left w:val="single" w:sz="2" w:space="0" w:color="8C8D8F"/>
            </w:tcBorders>
            <w:shd w:fill="EBEDEF" w:val="clear"/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</w:rPr>
            </w:pPr>
            <w:r>
              <w:rPr>
                <w:caps w:val="false"/>
                <w:smallCaps w:val="fals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37160" cy="137160"/>
                  <wp:effectExtent l="0" t="0" r="0" b="0"/>
                  <wp:docPr id="152" name="Image15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2" name="Image15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160" cy="1371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152" w:name="i-152"/>
            <w:bookmarkEnd w:id="152"/>
          </w:p>
        </w:tc>
      </w:tr>
      <w:tr>
        <w:trPr/>
        <w:tc>
          <w:tcPr>
            <w:tcW w:w="5401" w:type="dxa"/>
            <w:tcBorders>
              <w:bottom w:val="single" w:sz="2" w:space="0" w:color="8C8D8F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bottom w:val="single" w:sz="2" w:space="0" w:color="8C8D8F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bottom w:val="single" w:sz="2" w:space="0" w:color="8C8D8F"/>
              <w:right w:val="single" w:sz="2" w:space="0" w:color="8C8D8F"/>
            </w:tcBorders>
            <w:shd w:fill="EBEDEF" w:val="clear"/>
            <w:tcMar>
              <w:top w:w="0" w:type="dxa"/>
              <w:lef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left w:val="single" w:sz="2" w:space="0" w:color="8C8D8F"/>
              <w:bottom w:val="single" w:sz="2" w:space="0" w:color="8C8D8F"/>
              <w:right w:val="single" w:sz="2" w:space="0" w:color="8C8D8F"/>
            </w:tcBorders>
            <w:shd w:fill="EBEDEF" w:val="clear"/>
            <w:tcMar>
              <w:top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left w:val="single" w:sz="2" w:space="0" w:color="8C8D8F"/>
              <w:bottom w:val="single" w:sz="2" w:space="0" w:color="8C8D8F"/>
              <w:right w:val="single" w:sz="2" w:space="0" w:color="8C8D8F"/>
            </w:tcBorders>
            <w:shd w:fill="EBEDEF" w:val="clear"/>
            <w:tcMar>
              <w:top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left w:val="single" w:sz="2" w:space="0" w:color="8C8D8F"/>
              <w:bottom w:val="single" w:sz="2" w:space="0" w:color="8C8D8F"/>
              <w:right w:val="single" w:sz="2" w:space="0" w:color="8C8D8F"/>
            </w:tcBorders>
            <w:shd w:fill="EBEDEF" w:val="clear"/>
            <w:tcMar>
              <w:top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left w:val="single" w:sz="2" w:space="0" w:color="8C8D8F"/>
              <w:bottom w:val="single" w:sz="2" w:space="0" w:color="8C8D8F"/>
              <w:right w:val="single" w:sz="2" w:space="0" w:color="8C8D8F"/>
            </w:tcBorders>
            <w:shd w:fill="EBEDEF" w:val="clear"/>
            <w:tcMar>
              <w:top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left w:val="single" w:sz="2" w:space="0" w:color="8C8D8F"/>
              <w:bottom w:val="single" w:sz="2" w:space="0" w:color="8C8D8F"/>
              <w:right w:val="single" w:sz="2" w:space="0" w:color="8C8D8F"/>
            </w:tcBorders>
            <w:shd w:fill="EBEDEF" w:val="clear"/>
            <w:tcMar>
              <w:top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left w:val="single" w:sz="2" w:space="0" w:color="8C8D8F"/>
              <w:bottom w:val="single" w:sz="2" w:space="0" w:color="8C8D8F"/>
              <w:right w:val="single" w:sz="2" w:space="0" w:color="8C8D8F"/>
            </w:tcBorders>
            <w:shd w:fill="EBEDEF" w:val="clear"/>
            <w:tcMar>
              <w:top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left w:val="single" w:sz="2" w:space="0" w:color="8C8D8F"/>
              <w:bottom w:val="single" w:sz="2" w:space="0" w:color="8C8D8F"/>
              <w:right w:val="single" w:sz="2" w:space="0" w:color="8C8D8F"/>
            </w:tcBorders>
            <w:shd w:fill="EBEDEF" w:val="clear"/>
            <w:tcMar>
              <w:top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left w:val="single" w:sz="2" w:space="0" w:color="8C8D8F"/>
              <w:bottom w:val="single" w:sz="2" w:space="0" w:color="8C8D8F"/>
              <w:right w:val="single" w:sz="2" w:space="0" w:color="8C8D8F"/>
            </w:tcBorders>
            <w:shd w:fill="EBEDEF" w:val="clear"/>
            <w:tcMar>
              <w:top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7" w:type="dxa"/>
            <w:tcBorders>
              <w:left w:val="single" w:sz="2" w:space="0" w:color="8C8D8F"/>
              <w:bottom w:val="single" w:sz="2" w:space="0" w:color="8C8D8F"/>
            </w:tcBorders>
            <w:shd w:fill="EBEDEF" w:val="clear"/>
            <w:tcMar>
              <w:top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5401" w:type="dxa"/>
            <w:tcBorders>
              <w:top w:val="single" w:sz="2" w:space="0" w:color="8C8D8F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top w:val="single" w:sz="2" w:space="0" w:color="8C8D8F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top w:val="single" w:sz="2" w:space="0" w:color="8C8D8F"/>
              <w:right w:val="single" w:sz="2" w:space="0" w:color="8C8D8F"/>
            </w:tcBorders>
            <w:shd w:fill="EBEDEF" w:val="clear"/>
            <w:tcMar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top w:val="single" w:sz="2" w:space="0" w:color="8C8D8F"/>
              <w:left w:val="single" w:sz="2" w:space="0" w:color="8C8D8F"/>
              <w:right w:val="single" w:sz="2" w:space="0" w:color="8C8D8F"/>
            </w:tcBorders>
            <w:shd w:fill="EBEDEF" w:val="clear"/>
            <w:tcMar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top w:val="single" w:sz="2" w:space="0" w:color="8C8D8F"/>
              <w:left w:val="single" w:sz="2" w:space="0" w:color="8C8D8F"/>
              <w:right w:val="single" w:sz="2" w:space="0" w:color="8C8D8F"/>
            </w:tcBorders>
            <w:shd w:fill="EBEDEF" w:val="clear"/>
            <w:tcMar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top w:val="single" w:sz="2" w:space="0" w:color="8C8D8F"/>
              <w:left w:val="single" w:sz="2" w:space="0" w:color="8C8D8F"/>
              <w:right w:val="single" w:sz="2" w:space="0" w:color="8C8D8F"/>
            </w:tcBorders>
            <w:shd w:fill="EBEDEF" w:val="clear"/>
            <w:tcMar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top w:val="single" w:sz="2" w:space="0" w:color="8C8D8F"/>
              <w:left w:val="single" w:sz="2" w:space="0" w:color="8C8D8F"/>
              <w:right w:val="single" w:sz="2" w:space="0" w:color="8C8D8F"/>
            </w:tcBorders>
            <w:shd w:fill="EBEDEF" w:val="clear"/>
            <w:tcMar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top w:val="single" w:sz="2" w:space="0" w:color="8C8D8F"/>
              <w:left w:val="single" w:sz="2" w:space="0" w:color="8C8D8F"/>
              <w:right w:val="single" w:sz="2" w:space="0" w:color="8C8D8F"/>
            </w:tcBorders>
            <w:shd w:fill="EBEDEF" w:val="clear"/>
            <w:tcMar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top w:val="single" w:sz="2" w:space="0" w:color="8C8D8F"/>
              <w:left w:val="single" w:sz="2" w:space="0" w:color="8C8D8F"/>
              <w:right w:val="single" w:sz="2" w:space="0" w:color="8C8D8F"/>
            </w:tcBorders>
            <w:shd w:fill="EBEDEF" w:val="clear"/>
            <w:tcMar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top w:val="single" w:sz="2" w:space="0" w:color="8C8D8F"/>
              <w:left w:val="single" w:sz="2" w:space="0" w:color="8C8D8F"/>
              <w:right w:val="single" w:sz="2" w:space="0" w:color="8C8D8F"/>
            </w:tcBorders>
            <w:shd w:fill="EBEDEF" w:val="clear"/>
            <w:tcMar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top w:val="single" w:sz="2" w:space="0" w:color="8C8D8F"/>
              <w:left w:val="single" w:sz="2" w:space="0" w:color="8C8D8F"/>
              <w:right w:val="single" w:sz="2" w:space="0" w:color="8C8D8F"/>
            </w:tcBorders>
            <w:shd w:fill="EBEDEF" w:val="clear"/>
            <w:tcMar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7" w:type="dxa"/>
            <w:tcBorders>
              <w:top w:val="single" w:sz="2" w:space="0" w:color="8C8D8F"/>
              <w:left w:val="single" w:sz="2" w:space="0" w:color="8C8D8F"/>
            </w:tcBorders>
            <w:shd w:fill="EBEDEF" w:val="clear"/>
            <w:tcMar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5401" w:type="dxa"/>
            <w:tcBorders/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both"/>
              <w:rPr>
                <w:rFonts w:ascii="Arial;sans-serif" w:hAnsi="Arial;sans-serif"/>
                <w:b/>
                <w:i w:val="false"/>
                <w:caps w:val="false"/>
                <w:smallCaps w:val="false"/>
                <w:sz w:val="17"/>
                <w:u w:val="singl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z w:val="17"/>
                <w:u w:val="single"/>
              </w:rPr>
              <w:t>Global Business Operations &amp; International Experience:</w:t>
            </w:r>
          </w:p>
          <w:p>
            <w:pPr>
              <w:pStyle w:val="TableContents"/>
              <w:bidi w:val="0"/>
              <w:spacing w:lineRule="atLeast" w:line="15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5"/>
                <w:u w:val="single"/>
              </w:rPr>
              <w:t>These skills are crucial given our significant international consumer base</w:t>
            </w:r>
            <w:r>
              <w:rPr>
                <w:caps w:val="false"/>
                <w:smallCaps w:val="false"/>
                <w:u w:val="singl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50" w:before="0" w:after="0"/>
              <w:jc w:val="both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5"/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5"/>
                <w:u w:val="single"/>
              </w:rPr>
              <w:t>and employee presence.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right w:val="single" w:sz="2" w:space="0" w:color="8C8D8F"/>
            </w:tcBorders>
            <w:shd w:fill="EBEDEF" w:val="clear"/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EBEDEF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EBEDEF"/>
                <w:u w:val="none"/>
                <w:effect w:val="non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37160" cy="137160"/>
                  <wp:effectExtent l="0" t="0" r="0" b="0"/>
                  <wp:docPr id="153" name="Image153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3" name="Image153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160" cy="1371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153" w:name="i-153"/>
            <w:bookmarkEnd w:id="153"/>
          </w:p>
        </w:tc>
        <w:tc>
          <w:tcPr>
            <w:tcW w:w="302" w:type="dxa"/>
            <w:tcBorders>
              <w:left w:val="single" w:sz="2" w:space="0" w:color="8C8D8F"/>
              <w:right w:val="single" w:sz="2" w:space="0" w:color="8C8D8F"/>
            </w:tcBorders>
            <w:shd w:fill="EBEDEF" w:val="clear"/>
            <w:tcMar>
              <w:top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302" w:type="dxa"/>
            <w:tcBorders>
              <w:left w:val="single" w:sz="2" w:space="0" w:color="8C8D8F"/>
              <w:right w:val="single" w:sz="2" w:space="0" w:color="8C8D8F"/>
            </w:tcBorders>
            <w:shd w:fill="EBEDEF" w:val="clear"/>
            <w:tcMar>
              <w:top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EBEDEF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EBEDEF"/>
                <w:u w:val="none"/>
                <w:effect w:val="non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37160" cy="137160"/>
                  <wp:effectExtent l="0" t="0" r="0" b="0"/>
                  <wp:docPr id="154" name="Image154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4" name="Image154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160" cy="1371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154" w:name="i-154"/>
            <w:bookmarkEnd w:id="154"/>
          </w:p>
        </w:tc>
        <w:tc>
          <w:tcPr>
            <w:tcW w:w="302" w:type="dxa"/>
            <w:tcBorders>
              <w:left w:val="single" w:sz="2" w:space="0" w:color="8C8D8F"/>
              <w:right w:val="single" w:sz="2" w:space="0" w:color="8C8D8F"/>
            </w:tcBorders>
            <w:shd w:fill="EBEDEF" w:val="clear"/>
            <w:tcMar>
              <w:top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EBEDEF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EBEDEF"/>
                <w:u w:val="none"/>
                <w:effect w:val="non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37160" cy="137160"/>
                  <wp:effectExtent l="0" t="0" r="0" b="0"/>
                  <wp:docPr id="155" name="Image155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5" name="Image155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160" cy="1371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155" w:name="i-155"/>
            <w:bookmarkEnd w:id="155"/>
          </w:p>
        </w:tc>
        <w:tc>
          <w:tcPr>
            <w:tcW w:w="302" w:type="dxa"/>
            <w:tcBorders>
              <w:left w:val="single" w:sz="2" w:space="0" w:color="8C8D8F"/>
              <w:right w:val="single" w:sz="2" w:space="0" w:color="8C8D8F"/>
            </w:tcBorders>
            <w:shd w:fill="EBEDEF" w:val="clear"/>
            <w:tcMar>
              <w:top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302" w:type="dxa"/>
            <w:tcBorders>
              <w:left w:val="single" w:sz="2" w:space="0" w:color="8C8D8F"/>
              <w:right w:val="single" w:sz="2" w:space="0" w:color="8C8D8F"/>
            </w:tcBorders>
            <w:shd w:fill="EBEDEF" w:val="clear"/>
            <w:tcMar>
              <w:top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302" w:type="dxa"/>
            <w:tcBorders>
              <w:left w:val="single" w:sz="2" w:space="0" w:color="8C8D8F"/>
              <w:right w:val="single" w:sz="2" w:space="0" w:color="8C8D8F"/>
            </w:tcBorders>
            <w:shd w:fill="EBEDEF" w:val="clear"/>
            <w:tcMar>
              <w:top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302" w:type="dxa"/>
            <w:tcBorders>
              <w:left w:val="single" w:sz="2" w:space="0" w:color="8C8D8F"/>
              <w:right w:val="single" w:sz="2" w:space="0" w:color="8C8D8F"/>
            </w:tcBorders>
            <w:shd w:fill="EBEDEF" w:val="clear"/>
            <w:tcMar>
              <w:top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EBEDEF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EBEDEF"/>
                <w:u w:val="none"/>
                <w:effect w:val="non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37160" cy="137160"/>
                  <wp:effectExtent l="0" t="0" r="0" b="0"/>
                  <wp:docPr id="156" name="Image156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6" name="Image156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160" cy="1371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156" w:name="i-156"/>
            <w:bookmarkEnd w:id="156"/>
          </w:p>
        </w:tc>
        <w:tc>
          <w:tcPr>
            <w:tcW w:w="302" w:type="dxa"/>
            <w:tcBorders>
              <w:left w:val="single" w:sz="2" w:space="0" w:color="8C8D8F"/>
              <w:right w:val="single" w:sz="2" w:space="0" w:color="8C8D8F"/>
            </w:tcBorders>
            <w:shd w:fill="EBEDEF" w:val="clear"/>
            <w:tcMar>
              <w:top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EBEDEF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EBEDEF"/>
                <w:u w:val="none"/>
                <w:effect w:val="non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37160" cy="137160"/>
                  <wp:effectExtent l="0" t="0" r="0" b="0"/>
                  <wp:docPr id="157" name="Image157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7" name="Image157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160" cy="1371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157" w:name="i-157"/>
            <w:bookmarkEnd w:id="157"/>
          </w:p>
        </w:tc>
        <w:tc>
          <w:tcPr>
            <w:tcW w:w="347" w:type="dxa"/>
            <w:tcBorders>
              <w:left w:val="single" w:sz="2" w:space="0" w:color="8C8D8F"/>
            </w:tcBorders>
            <w:shd w:fill="EBEDEF" w:val="clear"/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</w:rPr>
            </w:pPr>
            <w:r>
              <w:rPr>
                <w:caps w:val="false"/>
                <w:smallCaps w:val="fals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37160" cy="137160"/>
                  <wp:effectExtent l="0" t="0" r="0" b="0"/>
                  <wp:docPr id="158" name="Image158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8" name="Image158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160" cy="1371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158" w:name="i-158"/>
            <w:bookmarkEnd w:id="158"/>
          </w:p>
        </w:tc>
      </w:tr>
      <w:tr>
        <w:trPr/>
        <w:tc>
          <w:tcPr>
            <w:tcW w:w="5401" w:type="dxa"/>
            <w:tcBorders>
              <w:bottom w:val="single" w:sz="2" w:space="0" w:color="8C8D8F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bottom w:val="single" w:sz="2" w:space="0" w:color="8C8D8F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bottom w:val="single" w:sz="2" w:space="0" w:color="8C8D8F"/>
              <w:right w:val="single" w:sz="2" w:space="0" w:color="8C8D8F"/>
            </w:tcBorders>
            <w:shd w:fill="EBEDEF" w:val="clear"/>
            <w:tcMar>
              <w:top w:w="0" w:type="dxa"/>
              <w:lef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left w:val="single" w:sz="2" w:space="0" w:color="8C8D8F"/>
              <w:bottom w:val="single" w:sz="2" w:space="0" w:color="8C8D8F"/>
              <w:right w:val="single" w:sz="2" w:space="0" w:color="8C8D8F"/>
            </w:tcBorders>
            <w:shd w:fill="EBEDEF" w:val="clear"/>
            <w:tcMar>
              <w:top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left w:val="single" w:sz="2" w:space="0" w:color="8C8D8F"/>
              <w:bottom w:val="single" w:sz="2" w:space="0" w:color="8C8D8F"/>
              <w:right w:val="single" w:sz="2" w:space="0" w:color="8C8D8F"/>
            </w:tcBorders>
            <w:shd w:fill="EBEDEF" w:val="clear"/>
            <w:tcMar>
              <w:top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left w:val="single" w:sz="2" w:space="0" w:color="8C8D8F"/>
              <w:bottom w:val="single" w:sz="2" w:space="0" w:color="8C8D8F"/>
              <w:right w:val="single" w:sz="2" w:space="0" w:color="8C8D8F"/>
            </w:tcBorders>
            <w:shd w:fill="EBEDEF" w:val="clear"/>
            <w:tcMar>
              <w:top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left w:val="single" w:sz="2" w:space="0" w:color="8C8D8F"/>
              <w:bottom w:val="single" w:sz="2" w:space="0" w:color="8C8D8F"/>
              <w:right w:val="single" w:sz="2" w:space="0" w:color="8C8D8F"/>
            </w:tcBorders>
            <w:shd w:fill="EBEDEF" w:val="clear"/>
            <w:tcMar>
              <w:top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left w:val="single" w:sz="2" w:space="0" w:color="8C8D8F"/>
              <w:bottom w:val="single" w:sz="2" w:space="0" w:color="8C8D8F"/>
              <w:right w:val="single" w:sz="2" w:space="0" w:color="8C8D8F"/>
            </w:tcBorders>
            <w:shd w:fill="EBEDEF" w:val="clear"/>
            <w:tcMar>
              <w:top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left w:val="single" w:sz="2" w:space="0" w:color="8C8D8F"/>
              <w:bottom w:val="single" w:sz="2" w:space="0" w:color="8C8D8F"/>
              <w:right w:val="single" w:sz="2" w:space="0" w:color="8C8D8F"/>
            </w:tcBorders>
            <w:shd w:fill="EBEDEF" w:val="clear"/>
            <w:tcMar>
              <w:top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left w:val="single" w:sz="2" w:space="0" w:color="8C8D8F"/>
              <w:bottom w:val="single" w:sz="2" w:space="0" w:color="8C8D8F"/>
              <w:right w:val="single" w:sz="2" w:space="0" w:color="8C8D8F"/>
            </w:tcBorders>
            <w:shd w:fill="EBEDEF" w:val="clear"/>
            <w:tcMar>
              <w:top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left w:val="single" w:sz="2" w:space="0" w:color="8C8D8F"/>
              <w:bottom w:val="single" w:sz="2" w:space="0" w:color="8C8D8F"/>
              <w:right w:val="single" w:sz="2" w:space="0" w:color="8C8D8F"/>
            </w:tcBorders>
            <w:shd w:fill="EBEDEF" w:val="clear"/>
            <w:tcMar>
              <w:top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7" w:type="dxa"/>
            <w:tcBorders>
              <w:left w:val="single" w:sz="2" w:space="0" w:color="8C8D8F"/>
              <w:bottom w:val="single" w:sz="2" w:space="0" w:color="8C8D8F"/>
            </w:tcBorders>
            <w:shd w:fill="EBEDEF" w:val="clear"/>
            <w:tcMar>
              <w:top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5401" w:type="dxa"/>
            <w:tcBorders>
              <w:top w:val="single" w:sz="2" w:space="0" w:color="8C8D8F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top w:val="single" w:sz="2" w:space="0" w:color="8C8D8F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top w:val="single" w:sz="2" w:space="0" w:color="8C8D8F"/>
              <w:right w:val="single" w:sz="2" w:space="0" w:color="8C8D8F"/>
            </w:tcBorders>
            <w:shd w:fill="EBEDEF" w:val="clear"/>
            <w:tcMar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top w:val="single" w:sz="2" w:space="0" w:color="8C8D8F"/>
              <w:left w:val="single" w:sz="2" w:space="0" w:color="8C8D8F"/>
              <w:right w:val="single" w:sz="2" w:space="0" w:color="8C8D8F"/>
            </w:tcBorders>
            <w:shd w:fill="EBEDEF" w:val="clear"/>
            <w:tcMar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top w:val="single" w:sz="2" w:space="0" w:color="8C8D8F"/>
              <w:left w:val="single" w:sz="2" w:space="0" w:color="8C8D8F"/>
              <w:right w:val="single" w:sz="2" w:space="0" w:color="8C8D8F"/>
            </w:tcBorders>
            <w:shd w:fill="EBEDEF" w:val="clear"/>
            <w:tcMar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top w:val="single" w:sz="2" w:space="0" w:color="8C8D8F"/>
              <w:left w:val="single" w:sz="2" w:space="0" w:color="8C8D8F"/>
              <w:right w:val="single" w:sz="2" w:space="0" w:color="8C8D8F"/>
            </w:tcBorders>
            <w:shd w:fill="EBEDEF" w:val="clear"/>
            <w:tcMar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top w:val="single" w:sz="2" w:space="0" w:color="8C8D8F"/>
              <w:left w:val="single" w:sz="2" w:space="0" w:color="8C8D8F"/>
              <w:right w:val="single" w:sz="2" w:space="0" w:color="8C8D8F"/>
            </w:tcBorders>
            <w:shd w:fill="EBEDEF" w:val="clear"/>
            <w:tcMar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top w:val="single" w:sz="2" w:space="0" w:color="8C8D8F"/>
              <w:left w:val="single" w:sz="2" w:space="0" w:color="8C8D8F"/>
              <w:right w:val="single" w:sz="2" w:space="0" w:color="8C8D8F"/>
            </w:tcBorders>
            <w:shd w:fill="EBEDEF" w:val="clear"/>
            <w:tcMar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top w:val="single" w:sz="2" w:space="0" w:color="8C8D8F"/>
              <w:left w:val="single" w:sz="2" w:space="0" w:color="8C8D8F"/>
              <w:right w:val="single" w:sz="2" w:space="0" w:color="8C8D8F"/>
            </w:tcBorders>
            <w:shd w:fill="EBEDEF" w:val="clear"/>
            <w:tcMar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top w:val="single" w:sz="2" w:space="0" w:color="8C8D8F"/>
              <w:left w:val="single" w:sz="2" w:space="0" w:color="8C8D8F"/>
              <w:right w:val="single" w:sz="2" w:space="0" w:color="8C8D8F"/>
            </w:tcBorders>
            <w:shd w:fill="EBEDEF" w:val="clear"/>
            <w:tcMar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top w:val="single" w:sz="2" w:space="0" w:color="8C8D8F"/>
              <w:left w:val="single" w:sz="2" w:space="0" w:color="8C8D8F"/>
              <w:right w:val="single" w:sz="2" w:space="0" w:color="8C8D8F"/>
            </w:tcBorders>
            <w:shd w:fill="EBEDEF" w:val="clear"/>
            <w:tcMar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7" w:type="dxa"/>
            <w:tcBorders>
              <w:top w:val="single" w:sz="2" w:space="0" w:color="8C8D8F"/>
              <w:left w:val="single" w:sz="2" w:space="0" w:color="8C8D8F"/>
            </w:tcBorders>
            <w:shd w:fill="EBEDEF" w:val="clear"/>
            <w:tcMar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5401" w:type="dxa"/>
            <w:tcBorders/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both"/>
              <w:rPr>
                <w:rFonts w:ascii="Arial;sans-serif" w:hAnsi="Arial;sans-serif"/>
                <w:b/>
                <w:i w:val="false"/>
                <w:caps w:val="false"/>
                <w:smallCaps w:val="false"/>
                <w:sz w:val="17"/>
                <w:u w:val="singl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z w:val="17"/>
                <w:u w:val="single"/>
              </w:rPr>
              <w:t>Human Capital Management Experience:</w:t>
            </w:r>
          </w:p>
          <w:p>
            <w:pPr>
              <w:pStyle w:val="TableContents"/>
              <w:bidi w:val="0"/>
              <w:spacing w:lineRule="atLeast" w:line="15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5"/>
                <w:u w:val="single"/>
              </w:rPr>
              <w:t>Enables the Board of Directors to oversee our efforts to manage complex</w:t>
            </w:r>
            <w:r>
              <w:rPr>
                <w:caps w:val="false"/>
                <w:smallCaps w:val="false"/>
                <w:u w:val="singl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50" w:before="0" w:after="0"/>
              <w:jc w:val="both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5"/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5"/>
                <w:u w:val="single"/>
              </w:rPr>
              <w:t>teams, build an engaging workplace, and recruit and incentivize top talent.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right w:val="single" w:sz="2" w:space="0" w:color="8C8D8F"/>
            </w:tcBorders>
            <w:shd w:fill="EBEDEF" w:val="clear"/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EBEDEF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EBEDEF"/>
                <w:u w:val="none"/>
                <w:effect w:val="non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37160" cy="137160"/>
                  <wp:effectExtent l="0" t="0" r="0" b="0"/>
                  <wp:docPr id="159" name="Image159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9" name="Image159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160" cy="1371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159" w:name="i-159"/>
            <w:bookmarkEnd w:id="159"/>
          </w:p>
        </w:tc>
        <w:tc>
          <w:tcPr>
            <w:tcW w:w="302" w:type="dxa"/>
            <w:tcBorders>
              <w:left w:val="single" w:sz="2" w:space="0" w:color="8C8D8F"/>
              <w:right w:val="single" w:sz="2" w:space="0" w:color="8C8D8F"/>
            </w:tcBorders>
            <w:shd w:fill="EBEDEF" w:val="clear"/>
            <w:tcMar>
              <w:top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EBEDEF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EBEDEF"/>
                <w:u w:val="none"/>
                <w:effect w:val="non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37160" cy="137160"/>
                  <wp:effectExtent l="0" t="0" r="0" b="0"/>
                  <wp:docPr id="160" name="Image160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0" name="Image160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160" cy="1371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160" w:name="i-160"/>
            <w:bookmarkEnd w:id="160"/>
          </w:p>
        </w:tc>
        <w:tc>
          <w:tcPr>
            <w:tcW w:w="302" w:type="dxa"/>
            <w:tcBorders>
              <w:left w:val="single" w:sz="2" w:space="0" w:color="8C8D8F"/>
              <w:right w:val="single" w:sz="2" w:space="0" w:color="8C8D8F"/>
            </w:tcBorders>
            <w:shd w:fill="EBEDEF" w:val="clear"/>
            <w:tcMar>
              <w:top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EBEDEF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EBEDEF"/>
                <w:u w:val="none"/>
                <w:effect w:val="non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37160" cy="137160"/>
                  <wp:effectExtent l="0" t="0" r="0" b="0"/>
                  <wp:docPr id="161" name="Image16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1" name="Image16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160" cy="1371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161" w:name="i-161"/>
            <w:bookmarkEnd w:id="161"/>
          </w:p>
        </w:tc>
        <w:tc>
          <w:tcPr>
            <w:tcW w:w="302" w:type="dxa"/>
            <w:tcBorders>
              <w:left w:val="single" w:sz="2" w:space="0" w:color="8C8D8F"/>
              <w:right w:val="single" w:sz="2" w:space="0" w:color="8C8D8F"/>
            </w:tcBorders>
            <w:shd w:fill="EBEDEF" w:val="clear"/>
            <w:tcMar>
              <w:top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302" w:type="dxa"/>
            <w:tcBorders>
              <w:left w:val="single" w:sz="2" w:space="0" w:color="8C8D8F"/>
              <w:right w:val="single" w:sz="2" w:space="0" w:color="8C8D8F"/>
            </w:tcBorders>
            <w:shd w:fill="EBEDEF" w:val="clear"/>
            <w:tcMar>
              <w:top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EBEDEF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EBEDEF"/>
                <w:u w:val="none"/>
                <w:effect w:val="non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37160" cy="137160"/>
                  <wp:effectExtent l="0" t="0" r="0" b="0"/>
                  <wp:docPr id="162" name="Image16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2" name="Image16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160" cy="1371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162" w:name="i-162"/>
            <w:bookmarkEnd w:id="162"/>
          </w:p>
        </w:tc>
        <w:tc>
          <w:tcPr>
            <w:tcW w:w="302" w:type="dxa"/>
            <w:tcBorders>
              <w:left w:val="single" w:sz="2" w:space="0" w:color="8C8D8F"/>
              <w:right w:val="single" w:sz="2" w:space="0" w:color="8C8D8F"/>
            </w:tcBorders>
            <w:shd w:fill="EBEDEF" w:val="clear"/>
            <w:tcMar>
              <w:top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302" w:type="dxa"/>
            <w:tcBorders>
              <w:left w:val="single" w:sz="2" w:space="0" w:color="8C8D8F"/>
              <w:right w:val="single" w:sz="2" w:space="0" w:color="8C8D8F"/>
            </w:tcBorders>
            <w:shd w:fill="EBEDEF" w:val="clear"/>
            <w:tcMar>
              <w:top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EBEDEF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EBEDEF"/>
                <w:u w:val="none"/>
                <w:effect w:val="non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37160" cy="137160"/>
                  <wp:effectExtent l="0" t="0" r="0" b="0"/>
                  <wp:docPr id="163" name="Image163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3" name="Image163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160" cy="1371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163" w:name="i-163"/>
            <w:bookmarkEnd w:id="163"/>
          </w:p>
        </w:tc>
        <w:tc>
          <w:tcPr>
            <w:tcW w:w="302" w:type="dxa"/>
            <w:tcBorders>
              <w:left w:val="single" w:sz="2" w:space="0" w:color="8C8D8F"/>
              <w:right w:val="single" w:sz="2" w:space="0" w:color="8C8D8F"/>
            </w:tcBorders>
            <w:shd w:fill="EBEDEF" w:val="clear"/>
            <w:tcMar>
              <w:top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302" w:type="dxa"/>
            <w:tcBorders>
              <w:left w:val="single" w:sz="2" w:space="0" w:color="8C8D8F"/>
              <w:right w:val="single" w:sz="2" w:space="0" w:color="8C8D8F"/>
            </w:tcBorders>
            <w:shd w:fill="EBEDEF" w:val="clear"/>
            <w:tcMar>
              <w:top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EBEDEF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EBEDEF"/>
                <w:u w:val="none"/>
                <w:effect w:val="non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37160" cy="137160"/>
                  <wp:effectExtent l="0" t="0" r="0" b="0"/>
                  <wp:docPr id="164" name="Image164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4" name="Image164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160" cy="1371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164" w:name="i-164"/>
            <w:bookmarkEnd w:id="164"/>
          </w:p>
        </w:tc>
        <w:tc>
          <w:tcPr>
            <w:tcW w:w="347" w:type="dxa"/>
            <w:tcBorders>
              <w:left w:val="single" w:sz="2" w:space="0" w:color="8C8D8F"/>
            </w:tcBorders>
            <w:shd w:fill="EBEDEF" w:val="clear"/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</w:rPr>
            </w:pPr>
            <w:r>
              <w:rPr>
                <w:caps w:val="false"/>
                <w:smallCaps w:val="fals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37160" cy="137160"/>
                  <wp:effectExtent l="0" t="0" r="0" b="0"/>
                  <wp:docPr id="165" name="Image165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5" name="Image165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160" cy="1371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165" w:name="i-165"/>
            <w:bookmarkEnd w:id="165"/>
          </w:p>
        </w:tc>
      </w:tr>
      <w:tr>
        <w:trPr/>
        <w:tc>
          <w:tcPr>
            <w:tcW w:w="5401" w:type="dxa"/>
            <w:tcBorders>
              <w:bottom w:val="single" w:sz="2" w:space="0" w:color="8C8D8F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bottom w:val="single" w:sz="2" w:space="0" w:color="8C8D8F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bottom w:val="single" w:sz="2" w:space="0" w:color="8C8D8F"/>
              <w:right w:val="single" w:sz="2" w:space="0" w:color="8C8D8F"/>
            </w:tcBorders>
            <w:shd w:fill="EBEDEF" w:val="clear"/>
            <w:tcMar>
              <w:top w:w="0" w:type="dxa"/>
              <w:lef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left w:val="single" w:sz="2" w:space="0" w:color="8C8D8F"/>
              <w:bottom w:val="single" w:sz="2" w:space="0" w:color="8C8D8F"/>
              <w:right w:val="single" w:sz="2" w:space="0" w:color="8C8D8F"/>
            </w:tcBorders>
            <w:shd w:fill="EBEDEF" w:val="clear"/>
            <w:tcMar>
              <w:top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left w:val="single" w:sz="2" w:space="0" w:color="8C8D8F"/>
              <w:bottom w:val="single" w:sz="2" w:space="0" w:color="8C8D8F"/>
              <w:right w:val="single" w:sz="2" w:space="0" w:color="8C8D8F"/>
            </w:tcBorders>
            <w:shd w:fill="EBEDEF" w:val="clear"/>
            <w:tcMar>
              <w:top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left w:val="single" w:sz="2" w:space="0" w:color="8C8D8F"/>
              <w:bottom w:val="single" w:sz="2" w:space="0" w:color="8C8D8F"/>
              <w:right w:val="single" w:sz="2" w:space="0" w:color="8C8D8F"/>
            </w:tcBorders>
            <w:shd w:fill="EBEDEF" w:val="clear"/>
            <w:tcMar>
              <w:top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left w:val="single" w:sz="2" w:space="0" w:color="8C8D8F"/>
              <w:bottom w:val="single" w:sz="2" w:space="0" w:color="8C8D8F"/>
              <w:right w:val="single" w:sz="2" w:space="0" w:color="8C8D8F"/>
            </w:tcBorders>
            <w:shd w:fill="EBEDEF" w:val="clear"/>
            <w:tcMar>
              <w:top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left w:val="single" w:sz="2" w:space="0" w:color="8C8D8F"/>
              <w:bottom w:val="single" w:sz="2" w:space="0" w:color="8C8D8F"/>
              <w:right w:val="single" w:sz="2" w:space="0" w:color="8C8D8F"/>
            </w:tcBorders>
            <w:shd w:fill="EBEDEF" w:val="clear"/>
            <w:tcMar>
              <w:top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left w:val="single" w:sz="2" w:space="0" w:color="8C8D8F"/>
              <w:bottom w:val="single" w:sz="2" w:space="0" w:color="8C8D8F"/>
              <w:right w:val="single" w:sz="2" w:space="0" w:color="8C8D8F"/>
            </w:tcBorders>
            <w:shd w:fill="EBEDEF" w:val="clear"/>
            <w:tcMar>
              <w:top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left w:val="single" w:sz="2" w:space="0" w:color="8C8D8F"/>
              <w:bottom w:val="single" w:sz="2" w:space="0" w:color="8C8D8F"/>
              <w:right w:val="single" w:sz="2" w:space="0" w:color="8C8D8F"/>
            </w:tcBorders>
            <w:shd w:fill="EBEDEF" w:val="clear"/>
            <w:tcMar>
              <w:top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left w:val="single" w:sz="2" w:space="0" w:color="8C8D8F"/>
              <w:bottom w:val="single" w:sz="2" w:space="0" w:color="8C8D8F"/>
              <w:right w:val="single" w:sz="2" w:space="0" w:color="8C8D8F"/>
            </w:tcBorders>
            <w:shd w:fill="EBEDEF" w:val="clear"/>
            <w:tcMar>
              <w:top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7" w:type="dxa"/>
            <w:tcBorders>
              <w:left w:val="single" w:sz="2" w:space="0" w:color="8C8D8F"/>
              <w:bottom w:val="single" w:sz="2" w:space="0" w:color="8C8D8F"/>
            </w:tcBorders>
            <w:shd w:fill="EBEDEF" w:val="clear"/>
            <w:tcMar>
              <w:top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5401" w:type="dxa"/>
            <w:tcBorders>
              <w:top w:val="single" w:sz="2" w:space="0" w:color="8C8D8F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top w:val="single" w:sz="2" w:space="0" w:color="8C8D8F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top w:val="single" w:sz="2" w:space="0" w:color="8C8D8F"/>
              <w:right w:val="single" w:sz="2" w:space="0" w:color="8C8D8F"/>
            </w:tcBorders>
            <w:shd w:fill="EBEDEF" w:val="clear"/>
            <w:tcMar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top w:val="single" w:sz="2" w:space="0" w:color="8C8D8F"/>
              <w:left w:val="single" w:sz="2" w:space="0" w:color="8C8D8F"/>
              <w:right w:val="single" w:sz="2" w:space="0" w:color="8C8D8F"/>
            </w:tcBorders>
            <w:shd w:fill="EBEDEF" w:val="clear"/>
            <w:tcMar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top w:val="single" w:sz="2" w:space="0" w:color="8C8D8F"/>
              <w:left w:val="single" w:sz="2" w:space="0" w:color="8C8D8F"/>
              <w:right w:val="single" w:sz="2" w:space="0" w:color="8C8D8F"/>
            </w:tcBorders>
            <w:shd w:fill="EBEDEF" w:val="clear"/>
            <w:tcMar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top w:val="single" w:sz="2" w:space="0" w:color="8C8D8F"/>
              <w:left w:val="single" w:sz="2" w:space="0" w:color="8C8D8F"/>
              <w:right w:val="single" w:sz="2" w:space="0" w:color="8C8D8F"/>
            </w:tcBorders>
            <w:shd w:fill="EBEDEF" w:val="clear"/>
            <w:tcMar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top w:val="single" w:sz="2" w:space="0" w:color="8C8D8F"/>
              <w:left w:val="single" w:sz="2" w:space="0" w:color="8C8D8F"/>
              <w:right w:val="single" w:sz="2" w:space="0" w:color="8C8D8F"/>
            </w:tcBorders>
            <w:shd w:fill="EBEDEF" w:val="clear"/>
            <w:tcMar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top w:val="single" w:sz="2" w:space="0" w:color="8C8D8F"/>
              <w:left w:val="single" w:sz="2" w:space="0" w:color="8C8D8F"/>
              <w:right w:val="single" w:sz="2" w:space="0" w:color="8C8D8F"/>
            </w:tcBorders>
            <w:shd w:fill="EBEDEF" w:val="clear"/>
            <w:tcMar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top w:val="single" w:sz="2" w:space="0" w:color="8C8D8F"/>
              <w:left w:val="single" w:sz="2" w:space="0" w:color="8C8D8F"/>
              <w:right w:val="single" w:sz="2" w:space="0" w:color="8C8D8F"/>
            </w:tcBorders>
            <w:shd w:fill="EBEDEF" w:val="clear"/>
            <w:tcMar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top w:val="single" w:sz="2" w:space="0" w:color="8C8D8F"/>
              <w:left w:val="single" w:sz="2" w:space="0" w:color="8C8D8F"/>
              <w:right w:val="single" w:sz="2" w:space="0" w:color="8C8D8F"/>
            </w:tcBorders>
            <w:shd w:fill="EBEDEF" w:val="clear"/>
            <w:tcMar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top w:val="single" w:sz="2" w:space="0" w:color="8C8D8F"/>
              <w:left w:val="single" w:sz="2" w:space="0" w:color="8C8D8F"/>
              <w:right w:val="single" w:sz="2" w:space="0" w:color="8C8D8F"/>
            </w:tcBorders>
            <w:shd w:fill="EBEDEF" w:val="clear"/>
            <w:tcMar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7" w:type="dxa"/>
            <w:tcBorders>
              <w:top w:val="single" w:sz="2" w:space="0" w:color="8C8D8F"/>
              <w:left w:val="single" w:sz="2" w:space="0" w:color="8C8D8F"/>
            </w:tcBorders>
            <w:shd w:fill="EBEDEF" w:val="clear"/>
            <w:tcMar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5401" w:type="dxa"/>
            <w:tcBorders/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both"/>
              <w:rPr>
                <w:rFonts w:ascii="Arial;sans-serif" w:hAnsi="Arial;sans-serif"/>
                <w:b/>
                <w:i w:val="false"/>
                <w:caps w:val="false"/>
                <w:smallCaps w:val="false"/>
                <w:sz w:val="17"/>
                <w:u w:val="singl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z w:val="17"/>
                <w:u w:val="single"/>
              </w:rPr>
              <w:t>Executive Leadership:</w:t>
            </w:r>
          </w:p>
          <w:p>
            <w:pPr>
              <w:pStyle w:val="TableContents"/>
              <w:bidi w:val="0"/>
              <w:spacing w:lineRule="atLeast" w:line="15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5"/>
                <w:u w:val="single"/>
              </w:rPr>
              <w:t>Provides valuable insight into the complexities that come with leading large,</w:t>
            </w:r>
            <w:r>
              <w:rPr>
                <w:caps w:val="false"/>
                <w:smallCaps w:val="false"/>
                <w:u w:val="singl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50" w:before="0" w:after="0"/>
              <w:jc w:val="both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5"/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5"/>
                <w:u w:val="single"/>
              </w:rPr>
              <w:t>sophisticated organizations and teams.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right w:val="single" w:sz="2" w:space="0" w:color="8C8D8F"/>
            </w:tcBorders>
            <w:shd w:fill="EBEDEF" w:val="clear"/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EBEDEF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EBEDEF"/>
                <w:u w:val="none"/>
                <w:effect w:val="non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37160" cy="137160"/>
                  <wp:effectExtent l="0" t="0" r="0" b="0"/>
                  <wp:docPr id="166" name="Image166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6" name="Image166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160" cy="1371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166" w:name="i-166"/>
            <w:bookmarkEnd w:id="166"/>
          </w:p>
        </w:tc>
        <w:tc>
          <w:tcPr>
            <w:tcW w:w="302" w:type="dxa"/>
            <w:tcBorders>
              <w:left w:val="single" w:sz="2" w:space="0" w:color="8C8D8F"/>
              <w:right w:val="single" w:sz="2" w:space="0" w:color="8C8D8F"/>
            </w:tcBorders>
            <w:shd w:fill="EBEDEF" w:val="clear"/>
            <w:tcMar>
              <w:top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EBEDEF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EBEDEF"/>
                <w:u w:val="none"/>
                <w:effect w:val="non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37160" cy="137160"/>
                  <wp:effectExtent l="0" t="0" r="0" b="0"/>
                  <wp:docPr id="167" name="Image167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7" name="Image167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160" cy="1371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167" w:name="i-167"/>
            <w:bookmarkEnd w:id="167"/>
          </w:p>
        </w:tc>
        <w:tc>
          <w:tcPr>
            <w:tcW w:w="302" w:type="dxa"/>
            <w:tcBorders>
              <w:left w:val="single" w:sz="2" w:space="0" w:color="8C8D8F"/>
              <w:right w:val="single" w:sz="2" w:space="0" w:color="8C8D8F"/>
            </w:tcBorders>
            <w:shd w:fill="EBEDEF" w:val="clear"/>
            <w:tcMar>
              <w:top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EBEDEF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EBEDEF"/>
                <w:u w:val="none"/>
                <w:effect w:val="non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37160" cy="137160"/>
                  <wp:effectExtent l="0" t="0" r="0" b="0"/>
                  <wp:docPr id="168" name="Image168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8" name="Image168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160" cy="1371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168" w:name="i-168"/>
            <w:bookmarkEnd w:id="168"/>
          </w:p>
        </w:tc>
        <w:tc>
          <w:tcPr>
            <w:tcW w:w="302" w:type="dxa"/>
            <w:tcBorders>
              <w:left w:val="single" w:sz="2" w:space="0" w:color="8C8D8F"/>
              <w:right w:val="single" w:sz="2" w:space="0" w:color="8C8D8F"/>
            </w:tcBorders>
            <w:shd w:fill="EBEDEF" w:val="clear"/>
            <w:tcMar>
              <w:top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EBEDEF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EBEDEF"/>
                <w:u w:val="none"/>
                <w:effect w:val="non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37160" cy="137160"/>
                  <wp:effectExtent l="0" t="0" r="0" b="0"/>
                  <wp:docPr id="169" name="Image169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9" name="Image169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160" cy="1371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169" w:name="i-169"/>
            <w:bookmarkEnd w:id="169"/>
          </w:p>
        </w:tc>
        <w:tc>
          <w:tcPr>
            <w:tcW w:w="302" w:type="dxa"/>
            <w:tcBorders>
              <w:left w:val="single" w:sz="2" w:space="0" w:color="8C8D8F"/>
              <w:right w:val="single" w:sz="2" w:space="0" w:color="8C8D8F"/>
            </w:tcBorders>
            <w:shd w:fill="EBEDEF" w:val="clear"/>
            <w:tcMar>
              <w:top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EBEDEF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EBEDEF"/>
                <w:u w:val="none"/>
                <w:effect w:val="non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37160" cy="137160"/>
                  <wp:effectExtent l="0" t="0" r="0" b="0"/>
                  <wp:docPr id="170" name="Image170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" name="Image170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160" cy="1371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170" w:name="i-170"/>
            <w:bookmarkEnd w:id="170"/>
          </w:p>
        </w:tc>
        <w:tc>
          <w:tcPr>
            <w:tcW w:w="302" w:type="dxa"/>
            <w:tcBorders>
              <w:left w:val="single" w:sz="2" w:space="0" w:color="8C8D8F"/>
              <w:right w:val="single" w:sz="2" w:space="0" w:color="8C8D8F"/>
            </w:tcBorders>
            <w:shd w:fill="EBEDEF" w:val="clear"/>
            <w:tcMar>
              <w:top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EBEDEF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EBEDEF"/>
                <w:u w:val="none"/>
                <w:effect w:val="non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37160" cy="137160"/>
                  <wp:effectExtent l="0" t="0" r="0" b="0"/>
                  <wp:docPr id="171" name="Image17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1" name="Image17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160" cy="1371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171" w:name="i-171"/>
            <w:bookmarkEnd w:id="171"/>
          </w:p>
        </w:tc>
        <w:tc>
          <w:tcPr>
            <w:tcW w:w="302" w:type="dxa"/>
            <w:tcBorders>
              <w:left w:val="single" w:sz="2" w:space="0" w:color="8C8D8F"/>
              <w:right w:val="single" w:sz="2" w:space="0" w:color="8C8D8F"/>
            </w:tcBorders>
            <w:shd w:fill="EBEDEF" w:val="clear"/>
            <w:tcMar>
              <w:top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EBEDEF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EBEDEF"/>
                <w:u w:val="none"/>
                <w:effect w:val="non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37160" cy="137160"/>
                  <wp:effectExtent l="0" t="0" r="0" b="0"/>
                  <wp:docPr id="172" name="Image17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2" name="Image17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160" cy="1371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172" w:name="i-172"/>
            <w:bookmarkEnd w:id="172"/>
          </w:p>
        </w:tc>
        <w:tc>
          <w:tcPr>
            <w:tcW w:w="302" w:type="dxa"/>
            <w:tcBorders>
              <w:left w:val="single" w:sz="2" w:space="0" w:color="8C8D8F"/>
              <w:right w:val="single" w:sz="2" w:space="0" w:color="8C8D8F"/>
            </w:tcBorders>
            <w:shd w:fill="EBEDEF" w:val="clear"/>
            <w:tcMar>
              <w:top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EBEDEF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EBEDEF"/>
                <w:u w:val="none"/>
                <w:effect w:val="non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37160" cy="137160"/>
                  <wp:effectExtent l="0" t="0" r="0" b="0"/>
                  <wp:docPr id="173" name="Image173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3" name="Image173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160" cy="1371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173" w:name="i-173"/>
            <w:bookmarkEnd w:id="173"/>
          </w:p>
        </w:tc>
        <w:tc>
          <w:tcPr>
            <w:tcW w:w="302" w:type="dxa"/>
            <w:tcBorders>
              <w:left w:val="single" w:sz="2" w:space="0" w:color="8C8D8F"/>
              <w:right w:val="single" w:sz="2" w:space="0" w:color="8C8D8F"/>
            </w:tcBorders>
            <w:shd w:fill="EBEDEF" w:val="clear"/>
            <w:tcMar>
              <w:top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EBEDEF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EBEDEF"/>
                <w:u w:val="none"/>
                <w:effect w:val="non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37160" cy="137160"/>
                  <wp:effectExtent l="0" t="0" r="0" b="0"/>
                  <wp:docPr id="174" name="Image174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4" name="Image174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160" cy="1371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174" w:name="i-174"/>
            <w:bookmarkEnd w:id="174"/>
          </w:p>
        </w:tc>
        <w:tc>
          <w:tcPr>
            <w:tcW w:w="347" w:type="dxa"/>
            <w:tcBorders>
              <w:left w:val="single" w:sz="2" w:space="0" w:color="8C8D8F"/>
            </w:tcBorders>
            <w:shd w:fill="EBEDEF" w:val="clear"/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</w:rPr>
            </w:pPr>
            <w:r>
              <w:rPr>
                <w:caps w:val="false"/>
                <w:smallCaps w:val="fals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37160" cy="137160"/>
                  <wp:effectExtent l="0" t="0" r="0" b="0"/>
                  <wp:docPr id="175" name="Image175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5" name="Image175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160" cy="1371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175" w:name="i-175"/>
            <w:bookmarkEnd w:id="175"/>
          </w:p>
        </w:tc>
      </w:tr>
      <w:tr>
        <w:trPr/>
        <w:tc>
          <w:tcPr>
            <w:tcW w:w="5401" w:type="dxa"/>
            <w:tcBorders>
              <w:bottom w:val="single" w:sz="2" w:space="0" w:color="8C8D8F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bottom w:val="single" w:sz="2" w:space="0" w:color="8C8D8F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bottom w:val="single" w:sz="2" w:space="0" w:color="8C8D8F"/>
              <w:right w:val="single" w:sz="2" w:space="0" w:color="8C8D8F"/>
            </w:tcBorders>
            <w:shd w:fill="EBEDEF" w:val="clear"/>
            <w:tcMar>
              <w:top w:w="0" w:type="dxa"/>
              <w:lef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left w:val="single" w:sz="2" w:space="0" w:color="8C8D8F"/>
              <w:bottom w:val="single" w:sz="2" w:space="0" w:color="8C8D8F"/>
              <w:right w:val="single" w:sz="2" w:space="0" w:color="8C8D8F"/>
            </w:tcBorders>
            <w:shd w:fill="EBEDEF" w:val="clear"/>
            <w:tcMar>
              <w:top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left w:val="single" w:sz="2" w:space="0" w:color="8C8D8F"/>
              <w:bottom w:val="single" w:sz="2" w:space="0" w:color="8C8D8F"/>
              <w:right w:val="single" w:sz="2" w:space="0" w:color="8C8D8F"/>
            </w:tcBorders>
            <w:shd w:fill="EBEDEF" w:val="clear"/>
            <w:tcMar>
              <w:top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left w:val="single" w:sz="2" w:space="0" w:color="8C8D8F"/>
              <w:bottom w:val="single" w:sz="2" w:space="0" w:color="8C8D8F"/>
              <w:right w:val="single" w:sz="2" w:space="0" w:color="8C8D8F"/>
            </w:tcBorders>
            <w:shd w:fill="EBEDEF" w:val="clear"/>
            <w:tcMar>
              <w:top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left w:val="single" w:sz="2" w:space="0" w:color="8C8D8F"/>
              <w:bottom w:val="single" w:sz="2" w:space="0" w:color="8C8D8F"/>
              <w:right w:val="single" w:sz="2" w:space="0" w:color="8C8D8F"/>
            </w:tcBorders>
            <w:shd w:fill="EBEDEF" w:val="clear"/>
            <w:tcMar>
              <w:top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left w:val="single" w:sz="2" w:space="0" w:color="8C8D8F"/>
              <w:bottom w:val="single" w:sz="2" w:space="0" w:color="8C8D8F"/>
              <w:right w:val="single" w:sz="2" w:space="0" w:color="8C8D8F"/>
            </w:tcBorders>
            <w:shd w:fill="EBEDEF" w:val="clear"/>
            <w:tcMar>
              <w:top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left w:val="single" w:sz="2" w:space="0" w:color="8C8D8F"/>
              <w:bottom w:val="single" w:sz="2" w:space="0" w:color="8C8D8F"/>
              <w:right w:val="single" w:sz="2" w:space="0" w:color="8C8D8F"/>
            </w:tcBorders>
            <w:shd w:fill="EBEDEF" w:val="clear"/>
            <w:tcMar>
              <w:top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left w:val="single" w:sz="2" w:space="0" w:color="8C8D8F"/>
              <w:bottom w:val="single" w:sz="2" w:space="0" w:color="8C8D8F"/>
              <w:right w:val="single" w:sz="2" w:space="0" w:color="8C8D8F"/>
            </w:tcBorders>
            <w:shd w:fill="EBEDEF" w:val="clear"/>
            <w:tcMar>
              <w:top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left w:val="single" w:sz="2" w:space="0" w:color="8C8D8F"/>
              <w:bottom w:val="single" w:sz="2" w:space="0" w:color="8C8D8F"/>
              <w:right w:val="single" w:sz="2" w:space="0" w:color="8C8D8F"/>
            </w:tcBorders>
            <w:shd w:fill="EBEDEF" w:val="clear"/>
            <w:tcMar>
              <w:top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7" w:type="dxa"/>
            <w:tcBorders>
              <w:left w:val="single" w:sz="2" w:space="0" w:color="8C8D8F"/>
              <w:bottom w:val="single" w:sz="2" w:space="0" w:color="8C8D8F"/>
            </w:tcBorders>
            <w:shd w:fill="EBEDEF" w:val="clear"/>
            <w:tcMar>
              <w:top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5401" w:type="dxa"/>
            <w:tcBorders>
              <w:top w:val="single" w:sz="2" w:space="0" w:color="8C8D8F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top w:val="single" w:sz="2" w:space="0" w:color="8C8D8F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top w:val="single" w:sz="2" w:space="0" w:color="8C8D8F"/>
              <w:right w:val="single" w:sz="2" w:space="0" w:color="8C8D8F"/>
            </w:tcBorders>
            <w:shd w:fill="EBEDEF" w:val="clear"/>
            <w:tcMar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top w:val="single" w:sz="2" w:space="0" w:color="8C8D8F"/>
              <w:left w:val="single" w:sz="2" w:space="0" w:color="8C8D8F"/>
              <w:right w:val="single" w:sz="2" w:space="0" w:color="8C8D8F"/>
            </w:tcBorders>
            <w:shd w:fill="EBEDEF" w:val="clear"/>
            <w:tcMar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top w:val="single" w:sz="2" w:space="0" w:color="8C8D8F"/>
              <w:left w:val="single" w:sz="2" w:space="0" w:color="8C8D8F"/>
              <w:right w:val="single" w:sz="2" w:space="0" w:color="8C8D8F"/>
            </w:tcBorders>
            <w:shd w:fill="EBEDEF" w:val="clear"/>
            <w:tcMar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top w:val="single" w:sz="2" w:space="0" w:color="8C8D8F"/>
              <w:left w:val="single" w:sz="2" w:space="0" w:color="8C8D8F"/>
              <w:right w:val="single" w:sz="2" w:space="0" w:color="8C8D8F"/>
            </w:tcBorders>
            <w:shd w:fill="EBEDEF" w:val="clear"/>
            <w:tcMar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top w:val="single" w:sz="2" w:space="0" w:color="8C8D8F"/>
              <w:left w:val="single" w:sz="2" w:space="0" w:color="8C8D8F"/>
              <w:right w:val="single" w:sz="2" w:space="0" w:color="8C8D8F"/>
            </w:tcBorders>
            <w:shd w:fill="EBEDEF" w:val="clear"/>
            <w:tcMar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top w:val="single" w:sz="2" w:space="0" w:color="8C8D8F"/>
              <w:left w:val="single" w:sz="2" w:space="0" w:color="8C8D8F"/>
              <w:right w:val="single" w:sz="2" w:space="0" w:color="8C8D8F"/>
            </w:tcBorders>
            <w:shd w:fill="EBEDEF" w:val="clear"/>
            <w:tcMar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top w:val="single" w:sz="2" w:space="0" w:color="8C8D8F"/>
              <w:left w:val="single" w:sz="2" w:space="0" w:color="8C8D8F"/>
              <w:right w:val="single" w:sz="2" w:space="0" w:color="8C8D8F"/>
            </w:tcBorders>
            <w:shd w:fill="EBEDEF" w:val="clear"/>
            <w:tcMar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top w:val="single" w:sz="2" w:space="0" w:color="8C8D8F"/>
              <w:left w:val="single" w:sz="2" w:space="0" w:color="8C8D8F"/>
              <w:right w:val="single" w:sz="2" w:space="0" w:color="8C8D8F"/>
            </w:tcBorders>
            <w:shd w:fill="EBEDEF" w:val="clear"/>
            <w:tcMar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top w:val="single" w:sz="2" w:space="0" w:color="8C8D8F"/>
              <w:left w:val="single" w:sz="2" w:space="0" w:color="8C8D8F"/>
              <w:right w:val="single" w:sz="2" w:space="0" w:color="8C8D8F"/>
            </w:tcBorders>
            <w:shd w:fill="EBEDEF" w:val="clear"/>
            <w:tcMar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7" w:type="dxa"/>
            <w:tcBorders>
              <w:top w:val="single" w:sz="2" w:space="0" w:color="8C8D8F"/>
              <w:left w:val="single" w:sz="2" w:space="0" w:color="8C8D8F"/>
            </w:tcBorders>
            <w:shd w:fill="EBEDEF" w:val="clear"/>
            <w:tcMar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5401" w:type="dxa"/>
            <w:tcBorders/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both"/>
              <w:rPr>
                <w:rFonts w:ascii="Arial;sans-serif" w:hAnsi="Arial;sans-serif"/>
                <w:b/>
                <w:i w:val="false"/>
                <w:caps w:val="false"/>
                <w:smallCaps w:val="false"/>
                <w:sz w:val="17"/>
                <w:u w:val="singl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z w:val="17"/>
                <w:u w:val="single"/>
              </w:rPr>
              <w:t>Regulatory &amp; Governmental Experience:</w:t>
            </w:r>
          </w:p>
          <w:p>
            <w:pPr>
              <w:pStyle w:val="TableContents"/>
              <w:bidi w:val="0"/>
              <w:spacing w:lineRule="atLeast" w:line="15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5"/>
                <w:u w:val="single"/>
              </w:rPr>
              <w:t>Provides necessary insight into an increasingly complex global regulatory</w:t>
            </w:r>
            <w:r>
              <w:rPr>
                <w:caps w:val="false"/>
                <w:smallCaps w:val="false"/>
                <w:u w:val="singl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50" w:before="0" w:after="0"/>
              <w:jc w:val="both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5"/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5"/>
                <w:u w:val="single"/>
              </w:rPr>
              <w:t>landscape that impacts our content and distribution.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right w:val="single" w:sz="2" w:space="0" w:color="8C8D8F"/>
            </w:tcBorders>
            <w:shd w:fill="EBEDEF" w:val="clear"/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302" w:type="dxa"/>
            <w:tcBorders>
              <w:left w:val="single" w:sz="2" w:space="0" w:color="8C8D8F"/>
              <w:right w:val="single" w:sz="2" w:space="0" w:color="8C8D8F"/>
            </w:tcBorders>
            <w:shd w:fill="EBEDEF" w:val="clear"/>
            <w:tcMar>
              <w:top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302" w:type="dxa"/>
            <w:tcBorders>
              <w:left w:val="single" w:sz="2" w:space="0" w:color="8C8D8F"/>
              <w:right w:val="single" w:sz="2" w:space="0" w:color="8C8D8F"/>
            </w:tcBorders>
            <w:shd w:fill="EBEDEF" w:val="clear"/>
            <w:tcMar>
              <w:top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302" w:type="dxa"/>
            <w:tcBorders>
              <w:left w:val="single" w:sz="2" w:space="0" w:color="8C8D8F"/>
              <w:right w:val="single" w:sz="2" w:space="0" w:color="8C8D8F"/>
            </w:tcBorders>
            <w:shd w:fill="EBEDEF" w:val="clear"/>
            <w:tcMar>
              <w:top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302" w:type="dxa"/>
            <w:tcBorders>
              <w:left w:val="single" w:sz="2" w:space="0" w:color="8C8D8F"/>
              <w:right w:val="single" w:sz="2" w:space="0" w:color="8C8D8F"/>
            </w:tcBorders>
            <w:shd w:fill="EBEDEF" w:val="clear"/>
            <w:tcMar>
              <w:top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302" w:type="dxa"/>
            <w:tcBorders>
              <w:left w:val="single" w:sz="2" w:space="0" w:color="8C8D8F"/>
              <w:right w:val="single" w:sz="2" w:space="0" w:color="8C8D8F"/>
            </w:tcBorders>
            <w:shd w:fill="EBEDEF" w:val="clear"/>
            <w:tcMar>
              <w:top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302" w:type="dxa"/>
            <w:tcBorders>
              <w:left w:val="single" w:sz="2" w:space="0" w:color="8C8D8F"/>
              <w:right w:val="single" w:sz="2" w:space="0" w:color="8C8D8F"/>
            </w:tcBorders>
            <w:shd w:fill="EBEDEF" w:val="clear"/>
            <w:tcMar>
              <w:top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EBEDEF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EBEDEF"/>
                <w:u w:val="none"/>
                <w:effect w:val="non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37160" cy="137160"/>
                  <wp:effectExtent l="0" t="0" r="0" b="0"/>
                  <wp:docPr id="176" name="Image176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6" name="Image176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160" cy="1371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176" w:name="i-176"/>
            <w:bookmarkEnd w:id="176"/>
          </w:p>
        </w:tc>
        <w:tc>
          <w:tcPr>
            <w:tcW w:w="302" w:type="dxa"/>
            <w:tcBorders>
              <w:left w:val="single" w:sz="2" w:space="0" w:color="8C8D8F"/>
              <w:right w:val="single" w:sz="2" w:space="0" w:color="8C8D8F"/>
            </w:tcBorders>
            <w:shd w:fill="EBEDEF" w:val="clear"/>
            <w:tcMar>
              <w:top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302" w:type="dxa"/>
            <w:tcBorders>
              <w:left w:val="single" w:sz="2" w:space="0" w:color="8C8D8F"/>
              <w:right w:val="single" w:sz="2" w:space="0" w:color="8C8D8F"/>
            </w:tcBorders>
            <w:shd w:fill="EBEDEF" w:val="clear"/>
            <w:tcMar>
              <w:top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EBEDEF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EBEDEF"/>
                <w:u w:val="none"/>
                <w:effect w:val="non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37160" cy="137160"/>
                  <wp:effectExtent l="0" t="0" r="0" b="0"/>
                  <wp:docPr id="177" name="Image177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7" name="Image177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160" cy="1371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177" w:name="i-177"/>
            <w:bookmarkEnd w:id="177"/>
          </w:p>
        </w:tc>
        <w:tc>
          <w:tcPr>
            <w:tcW w:w="347" w:type="dxa"/>
            <w:tcBorders>
              <w:left w:val="single" w:sz="2" w:space="0" w:color="8C8D8F"/>
            </w:tcBorders>
            <w:shd w:fill="EBEDEF" w:val="clear"/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</w:tr>
      <w:tr>
        <w:trPr/>
        <w:tc>
          <w:tcPr>
            <w:tcW w:w="5401" w:type="dxa"/>
            <w:tcBorders>
              <w:bottom w:val="single" w:sz="2" w:space="0" w:color="8C8D8F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bottom w:val="single" w:sz="2" w:space="0" w:color="8C8D8F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bottom w:val="single" w:sz="2" w:space="0" w:color="8C8D8F"/>
              <w:right w:val="single" w:sz="2" w:space="0" w:color="8C8D8F"/>
            </w:tcBorders>
            <w:shd w:fill="EBEDEF" w:val="clear"/>
            <w:tcMar>
              <w:top w:w="0" w:type="dxa"/>
              <w:lef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left w:val="single" w:sz="2" w:space="0" w:color="8C8D8F"/>
              <w:bottom w:val="single" w:sz="2" w:space="0" w:color="8C8D8F"/>
              <w:right w:val="single" w:sz="2" w:space="0" w:color="8C8D8F"/>
            </w:tcBorders>
            <w:shd w:fill="EBEDEF" w:val="clear"/>
            <w:tcMar>
              <w:top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left w:val="single" w:sz="2" w:space="0" w:color="8C8D8F"/>
              <w:bottom w:val="single" w:sz="2" w:space="0" w:color="8C8D8F"/>
              <w:right w:val="single" w:sz="2" w:space="0" w:color="8C8D8F"/>
            </w:tcBorders>
            <w:shd w:fill="EBEDEF" w:val="clear"/>
            <w:tcMar>
              <w:top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left w:val="single" w:sz="2" w:space="0" w:color="8C8D8F"/>
              <w:bottom w:val="single" w:sz="2" w:space="0" w:color="8C8D8F"/>
              <w:right w:val="single" w:sz="2" w:space="0" w:color="8C8D8F"/>
            </w:tcBorders>
            <w:shd w:fill="EBEDEF" w:val="clear"/>
            <w:tcMar>
              <w:top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left w:val="single" w:sz="2" w:space="0" w:color="8C8D8F"/>
              <w:bottom w:val="single" w:sz="2" w:space="0" w:color="8C8D8F"/>
              <w:right w:val="single" w:sz="2" w:space="0" w:color="8C8D8F"/>
            </w:tcBorders>
            <w:shd w:fill="EBEDEF" w:val="clear"/>
            <w:tcMar>
              <w:top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left w:val="single" w:sz="2" w:space="0" w:color="8C8D8F"/>
              <w:bottom w:val="single" w:sz="2" w:space="0" w:color="8C8D8F"/>
              <w:right w:val="single" w:sz="2" w:space="0" w:color="8C8D8F"/>
            </w:tcBorders>
            <w:shd w:fill="EBEDEF" w:val="clear"/>
            <w:tcMar>
              <w:top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left w:val="single" w:sz="2" w:space="0" w:color="8C8D8F"/>
              <w:bottom w:val="single" w:sz="2" w:space="0" w:color="8C8D8F"/>
              <w:right w:val="single" w:sz="2" w:space="0" w:color="8C8D8F"/>
            </w:tcBorders>
            <w:shd w:fill="EBEDEF" w:val="clear"/>
            <w:tcMar>
              <w:top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left w:val="single" w:sz="2" w:space="0" w:color="8C8D8F"/>
              <w:bottom w:val="single" w:sz="2" w:space="0" w:color="8C8D8F"/>
              <w:right w:val="single" w:sz="2" w:space="0" w:color="8C8D8F"/>
            </w:tcBorders>
            <w:shd w:fill="EBEDEF" w:val="clear"/>
            <w:tcMar>
              <w:top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left w:val="single" w:sz="2" w:space="0" w:color="8C8D8F"/>
              <w:bottom w:val="single" w:sz="2" w:space="0" w:color="8C8D8F"/>
              <w:right w:val="single" w:sz="2" w:space="0" w:color="8C8D8F"/>
            </w:tcBorders>
            <w:shd w:fill="EBEDEF" w:val="clear"/>
            <w:tcMar>
              <w:top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7" w:type="dxa"/>
            <w:tcBorders>
              <w:left w:val="single" w:sz="2" w:space="0" w:color="8C8D8F"/>
              <w:bottom w:val="single" w:sz="2" w:space="0" w:color="8C8D8F"/>
            </w:tcBorders>
            <w:shd w:fill="EBEDEF" w:val="clear"/>
            <w:tcMar>
              <w:top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5401" w:type="dxa"/>
            <w:tcBorders>
              <w:top w:val="single" w:sz="2" w:space="0" w:color="8C8D8F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top w:val="single" w:sz="2" w:space="0" w:color="8C8D8F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top w:val="single" w:sz="2" w:space="0" w:color="8C8D8F"/>
              <w:right w:val="single" w:sz="2" w:space="0" w:color="8C8D8F"/>
            </w:tcBorders>
            <w:shd w:fill="EBEDEF" w:val="clear"/>
            <w:tcMar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top w:val="single" w:sz="2" w:space="0" w:color="8C8D8F"/>
              <w:left w:val="single" w:sz="2" w:space="0" w:color="8C8D8F"/>
              <w:right w:val="single" w:sz="2" w:space="0" w:color="8C8D8F"/>
            </w:tcBorders>
            <w:shd w:fill="EBEDEF" w:val="clear"/>
            <w:tcMar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top w:val="single" w:sz="2" w:space="0" w:color="8C8D8F"/>
              <w:left w:val="single" w:sz="2" w:space="0" w:color="8C8D8F"/>
              <w:right w:val="single" w:sz="2" w:space="0" w:color="8C8D8F"/>
            </w:tcBorders>
            <w:shd w:fill="EBEDEF" w:val="clear"/>
            <w:tcMar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top w:val="single" w:sz="2" w:space="0" w:color="8C8D8F"/>
              <w:left w:val="single" w:sz="2" w:space="0" w:color="8C8D8F"/>
              <w:right w:val="single" w:sz="2" w:space="0" w:color="8C8D8F"/>
            </w:tcBorders>
            <w:shd w:fill="EBEDEF" w:val="clear"/>
            <w:tcMar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top w:val="single" w:sz="2" w:space="0" w:color="8C8D8F"/>
              <w:left w:val="single" w:sz="2" w:space="0" w:color="8C8D8F"/>
              <w:right w:val="single" w:sz="2" w:space="0" w:color="8C8D8F"/>
            </w:tcBorders>
            <w:shd w:fill="EBEDEF" w:val="clear"/>
            <w:tcMar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top w:val="single" w:sz="2" w:space="0" w:color="8C8D8F"/>
              <w:left w:val="single" w:sz="2" w:space="0" w:color="8C8D8F"/>
              <w:right w:val="single" w:sz="2" w:space="0" w:color="8C8D8F"/>
            </w:tcBorders>
            <w:shd w:fill="EBEDEF" w:val="clear"/>
            <w:tcMar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top w:val="single" w:sz="2" w:space="0" w:color="8C8D8F"/>
              <w:left w:val="single" w:sz="2" w:space="0" w:color="8C8D8F"/>
              <w:right w:val="single" w:sz="2" w:space="0" w:color="8C8D8F"/>
            </w:tcBorders>
            <w:shd w:fill="EBEDEF" w:val="clear"/>
            <w:tcMar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top w:val="single" w:sz="2" w:space="0" w:color="8C8D8F"/>
              <w:left w:val="single" w:sz="2" w:space="0" w:color="8C8D8F"/>
              <w:right w:val="single" w:sz="2" w:space="0" w:color="8C8D8F"/>
            </w:tcBorders>
            <w:shd w:fill="EBEDEF" w:val="clear"/>
            <w:tcMar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top w:val="single" w:sz="2" w:space="0" w:color="8C8D8F"/>
              <w:left w:val="single" w:sz="2" w:space="0" w:color="8C8D8F"/>
              <w:right w:val="single" w:sz="2" w:space="0" w:color="8C8D8F"/>
            </w:tcBorders>
            <w:shd w:fill="EBEDEF" w:val="clear"/>
            <w:tcMar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7" w:type="dxa"/>
            <w:tcBorders>
              <w:top w:val="single" w:sz="2" w:space="0" w:color="8C8D8F"/>
              <w:left w:val="single" w:sz="2" w:space="0" w:color="8C8D8F"/>
            </w:tcBorders>
            <w:shd w:fill="EBEDEF" w:val="clear"/>
            <w:tcMar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5401" w:type="dxa"/>
            <w:tcBorders/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both"/>
              <w:rPr>
                <w:rFonts w:ascii="Arial;sans-serif" w:hAnsi="Arial;sans-serif"/>
                <w:b/>
                <w:i w:val="false"/>
                <w:caps w:val="false"/>
                <w:smallCaps w:val="false"/>
                <w:sz w:val="17"/>
                <w:u w:val="singl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z w:val="17"/>
                <w:u w:val="single"/>
              </w:rPr>
              <w:t>Risk Management Experience:</w:t>
            </w:r>
          </w:p>
          <w:p>
            <w:pPr>
              <w:pStyle w:val="TableContents"/>
              <w:bidi w:val="0"/>
              <w:spacing w:lineRule="atLeast" w:line="15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5"/>
                <w:u w:val="single"/>
              </w:rPr>
              <w:t>Helps the Board of Directors oversee strategic risks to the Company,</w:t>
            </w:r>
            <w:r>
              <w:rPr>
                <w:caps w:val="false"/>
                <w:smallCaps w:val="false"/>
                <w:u w:val="singl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50" w:before="0" w:after="0"/>
              <w:jc w:val="both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5"/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5"/>
                <w:u w:val="single"/>
              </w:rPr>
              <w:t>including business continuity planning, cyber, digital and physical security.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right w:val="single" w:sz="2" w:space="0" w:color="8C8D8F"/>
            </w:tcBorders>
            <w:shd w:fill="EBEDEF" w:val="clear"/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302" w:type="dxa"/>
            <w:tcBorders>
              <w:left w:val="single" w:sz="2" w:space="0" w:color="8C8D8F"/>
              <w:right w:val="single" w:sz="2" w:space="0" w:color="8C8D8F"/>
            </w:tcBorders>
            <w:shd w:fill="EBEDEF" w:val="clear"/>
            <w:tcMar>
              <w:top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302" w:type="dxa"/>
            <w:tcBorders>
              <w:left w:val="single" w:sz="2" w:space="0" w:color="8C8D8F"/>
              <w:right w:val="single" w:sz="2" w:space="0" w:color="8C8D8F"/>
            </w:tcBorders>
            <w:shd w:fill="EBEDEF" w:val="clear"/>
            <w:tcMar>
              <w:top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EBEDEF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EBEDEF"/>
                <w:u w:val="none"/>
                <w:effect w:val="non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37160" cy="137160"/>
                  <wp:effectExtent l="0" t="0" r="0" b="0"/>
                  <wp:docPr id="178" name="Image178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8" name="Image178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160" cy="1371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178" w:name="i-178"/>
            <w:bookmarkEnd w:id="178"/>
          </w:p>
        </w:tc>
        <w:tc>
          <w:tcPr>
            <w:tcW w:w="302" w:type="dxa"/>
            <w:tcBorders>
              <w:left w:val="single" w:sz="2" w:space="0" w:color="8C8D8F"/>
              <w:right w:val="single" w:sz="2" w:space="0" w:color="8C8D8F"/>
            </w:tcBorders>
            <w:shd w:fill="EBEDEF" w:val="clear"/>
            <w:tcMar>
              <w:top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EBEDEF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EBEDEF"/>
                <w:u w:val="none"/>
                <w:effect w:val="non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37160" cy="137160"/>
                  <wp:effectExtent l="0" t="0" r="0" b="0"/>
                  <wp:docPr id="179" name="Image179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9" name="Image179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160" cy="1371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179" w:name="i-179"/>
            <w:bookmarkEnd w:id="179"/>
          </w:p>
        </w:tc>
        <w:tc>
          <w:tcPr>
            <w:tcW w:w="302" w:type="dxa"/>
            <w:tcBorders>
              <w:left w:val="single" w:sz="2" w:space="0" w:color="8C8D8F"/>
              <w:right w:val="single" w:sz="2" w:space="0" w:color="8C8D8F"/>
            </w:tcBorders>
            <w:shd w:fill="EBEDEF" w:val="clear"/>
            <w:tcMar>
              <w:top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EBEDEF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EBEDEF"/>
                <w:u w:val="none"/>
                <w:effect w:val="non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37160" cy="137160"/>
                  <wp:effectExtent l="0" t="0" r="0" b="0"/>
                  <wp:docPr id="180" name="Image180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0" name="Image180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160" cy="1371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180" w:name="i-180"/>
            <w:bookmarkEnd w:id="180"/>
          </w:p>
        </w:tc>
        <w:tc>
          <w:tcPr>
            <w:tcW w:w="302" w:type="dxa"/>
            <w:tcBorders>
              <w:left w:val="single" w:sz="2" w:space="0" w:color="8C8D8F"/>
              <w:right w:val="single" w:sz="2" w:space="0" w:color="8C8D8F"/>
            </w:tcBorders>
            <w:shd w:fill="EBEDEF" w:val="clear"/>
            <w:tcMar>
              <w:top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EBEDEF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EBEDEF"/>
                <w:u w:val="none"/>
                <w:effect w:val="non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37160" cy="137160"/>
                  <wp:effectExtent l="0" t="0" r="0" b="0"/>
                  <wp:docPr id="181" name="Image18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1" name="Image18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160" cy="1371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181" w:name="i-181"/>
            <w:bookmarkEnd w:id="181"/>
          </w:p>
        </w:tc>
        <w:tc>
          <w:tcPr>
            <w:tcW w:w="302" w:type="dxa"/>
            <w:tcBorders>
              <w:left w:val="single" w:sz="2" w:space="0" w:color="8C8D8F"/>
              <w:right w:val="single" w:sz="2" w:space="0" w:color="8C8D8F"/>
            </w:tcBorders>
            <w:shd w:fill="EBEDEF" w:val="clear"/>
            <w:tcMar>
              <w:top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302" w:type="dxa"/>
            <w:tcBorders>
              <w:left w:val="single" w:sz="2" w:space="0" w:color="8C8D8F"/>
              <w:right w:val="single" w:sz="2" w:space="0" w:color="8C8D8F"/>
            </w:tcBorders>
            <w:shd w:fill="EBEDEF" w:val="clear"/>
            <w:tcMar>
              <w:top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EBEDEF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EBEDEF"/>
                <w:u w:val="none"/>
                <w:effect w:val="non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37160" cy="137160"/>
                  <wp:effectExtent l="0" t="0" r="0" b="0"/>
                  <wp:docPr id="182" name="Image18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2" name="Image18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160" cy="1371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182" w:name="i-182"/>
            <w:bookmarkEnd w:id="182"/>
          </w:p>
        </w:tc>
        <w:tc>
          <w:tcPr>
            <w:tcW w:w="302" w:type="dxa"/>
            <w:tcBorders>
              <w:left w:val="single" w:sz="2" w:space="0" w:color="8C8D8F"/>
              <w:right w:val="single" w:sz="2" w:space="0" w:color="8C8D8F"/>
            </w:tcBorders>
            <w:shd w:fill="EBEDEF" w:val="clear"/>
            <w:tcMar>
              <w:top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EBEDEF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EBEDEF"/>
                <w:u w:val="none"/>
                <w:effect w:val="non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37160" cy="137160"/>
                  <wp:effectExtent l="0" t="0" r="0" b="0"/>
                  <wp:docPr id="183" name="Image183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3" name="Image183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160" cy="1371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183" w:name="i-183"/>
            <w:bookmarkEnd w:id="183"/>
          </w:p>
        </w:tc>
        <w:tc>
          <w:tcPr>
            <w:tcW w:w="347" w:type="dxa"/>
            <w:tcBorders>
              <w:left w:val="single" w:sz="2" w:space="0" w:color="8C8D8F"/>
            </w:tcBorders>
            <w:shd w:fill="EBEDEF" w:val="clear"/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</w:rPr>
            </w:pPr>
            <w:r>
              <w:rPr>
                <w:caps w:val="false"/>
                <w:smallCaps w:val="fals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37160" cy="137160"/>
                  <wp:effectExtent l="0" t="0" r="0" b="0"/>
                  <wp:docPr id="184" name="Image184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4" name="Image184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160" cy="1371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184" w:name="i-184"/>
            <w:bookmarkEnd w:id="184"/>
          </w:p>
        </w:tc>
      </w:tr>
      <w:tr>
        <w:trPr/>
        <w:tc>
          <w:tcPr>
            <w:tcW w:w="5401" w:type="dxa"/>
            <w:tcBorders>
              <w:bottom w:val="single" w:sz="2" w:space="0" w:color="8C8D8F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bottom w:val="single" w:sz="2" w:space="0" w:color="8C8D8F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bottom w:val="single" w:sz="2" w:space="0" w:color="8C8D8F"/>
              <w:right w:val="single" w:sz="2" w:space="0" w:color="8C8D8F"/>
            </w:tcBorders>
            <w:shd w:fill="EBEDEF" w:val="clear"/>
            <w:tcMar>
              <w:top w:w="0" w:type="dxa"/>
              <w:lef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left w:val="single" w:sz="2" w:space="0" w:color="8C8D8F"/>
              <w:bottom w:val="single" w:sz="2" w:space="0" w:color="8C8D8F"/>
              <w:right w:val="single" w:sz="2" w:space="0" w:color="8C8D8F"/>
            </w:tcBorders>
            <w:shd w:fill="EBEDEF" w:val="clear"/>
            <w:tcMar>
              <w:top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left w:val="single" w:sz="2" w:space="0" w:color="8C8D8F"/>
              <w:bottom w:val="single" w:sz="2" w:space="0" w:color="8C8D8F"/>
              <w:right w:val="single" w:sz="2" w:space="0" w:color="8C8D8F"/>
            </w:tcBorders>
            <w:shd w:fill="EBEDEF" w:val="clear"/>
            <w:tcMar>
              <w:top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left w:val="single" w:sz="2" w:space="0" w:color="8C8D8F"/>
              <w:bottom w:val="single" w:sz="2" w:space="0" w:color="8C8D8F"/>
              <w:right w:val="single" w:sz="2" w:space="0" w:color="8C8D8F"/>
            </w:tcBorders>
            <w:shd w:fill="EBEDEF" w:val="clear"/>
            <w:tcMar>
              <w:top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left w:val="single" w:sz="2" w:space="0" w:color="8C8D8F"/>
              <w:bottom w:val="single" w:sz="2" w:space="0" w:color="8C8D8F"/>
              <w:right w:val="single" w:sz="2" w:space="0" w:color="8C8D8F"/>
            </w:tcBorders>
            <w:shd w:fill="EBEDEF" w:val="clear"/>
            <w:tcMar>
              <w:top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left w:val="single" w:sz="2" w:space="0" w:color="8C8D8F"/>
              <w:bottom w:val="single" w:sz="2" w:space="0" w:color="8C8D8F"/>
              <w:right w:val="single" w:sz="2" w:space="0" w:color="8C8D8F"/>
            </w:tcBorders>
            <w:shd w:fill="EBEDEF" w:val="clear"/>
            <w:tcMar>
              <w:top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left w:val="single" w:sz="2" w:space="0" w:color="8C8D8F"/>
              <w:bottom w:val="single" w:sz="2" w:space="0" w:color="8C8D8F"/>
              <w:right w:val="single" w:sz="2" w:space="0" w:color="8C8D8F"/>
            </w:tcBorders>
            <w:shd w:fill="EBEDEF" w:val="clear"/>
            <w:tcMar>
              <w:top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left w:val="single" w:sz="2" w:space="0" w:color="8C8D8F"/>
              <w:bottom w:val="single" w:sz="2" w:space="0" w:color="8C8D8F"/>
              <w:right w:val="single" w:sz="2" w:space="0" w:color="8C8D8F"/>
            </w:tcBorders>
            <w:shd w:fill="EBEDEF" w:val="clear"/>
            <w:tcMar>
              <w:top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left w:val="single" w:sz="2" w:space="0" w:color="8C8D8F"/>
              <w:bottom w:val="single" w:sz="2" w:space="0" w:color="8C8D8F"/>
              <w:right w:val="single" w:sz="2" w:space="0" w:color="8C8D8F"/>
            </w:tcBorders>
            <w:shd w:fill="EBEDEF" w:val="clear"/>
            <w:tcMar>
              <w:top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7" w:type="dxa"/>
            <w:tcBorders>
              <w:left w:val="single" w:sz="2" w:space="0" w:color="8C8D8F"/>
              <w:bottom w:val="single" w:sz="2" w:space="0" w:color="8C8D8F"/>
            </w:tcBorders>
            <w:shd w:fill="EBEDEF" w:val="clear"/>
            <w:tcMar>
              <w:top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5401" w:type="dxa"/>
            <w:tcBorders>
              <w:top w:val="single" w:sz="2" w:space="0" w:color="8C8D8F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top w:val="single" w:sz="2" w:space="0" w:color="8C8D8F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top w:val="single" w:sz="2" w:space="0" w:color="8C8D8F"/>
              <w:right w:val="single" w:sz="2" w:space="0" w:color="8C8D8F"/>
            </w:tcBorders>
            <w:shd w:fill="EBEDEF" w:val="clear"/>
            <w:tcMar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top w:val="single" w:sz="2" w:space="0" w:color="8C8D8F"/>
              <w:left w:val="single" w:sz="2" w:space="0" w:color="8C8D8F"/>
              <w:right w:val="single" w:sz="2" w:space="0" w:color="8C8D8F"/>
            </w:tcBorders>
            <w:shd w:fill="EBEDEF" w:val="clear"/>
            <w:tcMar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top w:val="single" w:sz="2" w:space="0" w:color="8C8D8F"/>
              <w:left w:val="single" w:sz="2" w:space="0" w:color="8C8D8F"/>
              <w:right w:val="single" w:sz="2" w:space="0" w:color="8C8D8F"/>
            </w:tcBorders>
            <w:shd w:fill="EBEDEF" w:val="clear"/>
            <w:tcMar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top w:val="single" w:sz="2" w:space="0" w:color="8C8D8F"/>
              <w:left w:val="single" w:sz="2" w:space="0" w:color="8C8D8F"/>
              <w:right w:val="single" w:sz="2" w:space="0" w:color="8C8D8F"/>
            </w:tcBorders>
            <w:shd w:fill="EBEDEF" w:val="clear"/>
            <w:tcMar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top w:val="single" w:sz="2" w:space="0" w:color="8C8D8F"/>
              <w:left w:val="single" w:sz="2" w:space="0" w:color="8C8D8F"/>
              <w:right w:val="single" w:sz="2" w:space="0" w:color="8C8D8F"/>
            </w:tcBorders>
            <w:shd w:fill="EBEDEF" w:val="clear"/>
            <w:tcMar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top w:val="single" w:sz="2" w:space="0" w:color="8C8D8F"/>
              <w:left w:val="single" w:sz="2" w:space="0" w:color="8C8D8F"/>
              <w:right w:val="single" w:sz="2" w:space="0" w:color="8C8D8F"/>
            </w:tcBorders>
            <w:shd w:fill="EBEDEF" w:val="clear"/>
            <w:tcMar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top w:val="single" w:sz="2" w:space="0" w:color="8C8D8F"/>
              <w:left w:val="single" w:sz="2" w:space="0" w:color="8C8D8F"/>
              <w:right w:val="single" w:sz="2" w:space="0" w:color="8C8D8F"/>
            </w:tcBorders>
            <w:shd w:fill="EBEDEF" w:val="clear"/>
            <w:tcMar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top w:val="single" w:sz="2" w:space="0" w:color="8C8D8F"/>
              <w:left w:val="single" w:sz="2" w:space="0" w:color="8C8D8F"/>
              <w:right w:val="single" w:sz="2" w:space="0" w:color="8C8D8F"/>
            </w:tcBorders>
            <w:shd w:fill="EBEDEF" w:val="clear"/>
            <w:tcMar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top w:val="single" w:sz="2" w:space="0" w:color="8C8D8F"/>
              <w:left w:val="single" w:sz="2" w:space="0" w:color="8C8D8F"/>
              <w:right w:val="single" w:sz="2" w:space="0" w:color="8C8D8F"/>
            </w:tcBorders>
            <w:shd w:fill="EBEDEF" w:val="clear"/>
            <w:tcMar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7" w:type="dxa"/>
            <w:tcBorders>
              <w:top w:val="single" w:sz="2" w:space="0" w:color="8C8D8F"/>
              <w:left w:val="single" w:sz="2" w:space="0" w:color="8C8D8F"/>
            </w:tcBorders>
            <w:shd w:fill="EBEDEF" w:val="clear"/>
            <w:tcMar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5401" w:type="dxa"/>
            <w:tcBorders/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both"/>
              <w:rPr>
                <w:rFonts w:ascii="Arial;sans-serif" w:hAnsi="Arial;sans-serif"/>
                <w:b/>
                <w:i w:val="false"/>
                <w:caps w:val="false"/>
                <w:smallCaps w:val="false"/>
                <w:sz w:val="17"/>
                <w:u w:val="singl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z w:val="17"/>
                <w:u w:val="single"/>
              </w:rPr>
              <w:t>Strategy and Growth:</w:t>
            </w:r>
          </w:p>
          <w:p>
            <w:pPr>
              <w:pStyle w:val="TableContents"/>
              <w:bidi w:val="0"/>
              <w:spacing w:lineRule="atLeast" w:line="15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5"/>
                <w:u w:val="single"/>
              </w:rPr>
              <w:t>Helps the Board of Directors oversee strategic decisions underpinning the</w:t>
            </w:r>
            <w:r>
              <w:rPr>
                <w:caps w:val="false"/>
                <w:smallCaps w:val="false"/>
                <w:u w:val="singl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5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5"/>
                <w:u w:val="single"/>
              </w:rPr>
              <w:t>Company’s long-term success, including evaluating and executing on</w:t>
            </w:r>
            <w:r>
              <w:rPr>
                <w:caps w:val="false"/>
                <w:smallCaps w:val="false"/>
                <w:u w:val="singl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5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5"/>
                <w:u w:val="single"/>
              </w:rPr>
              <w:t>growth opportunities and business development through acquisitions,</w:t>
            </w:r>
            <w:r>
              <w:rPr>
                <w:caps w:val="false"/>
                <w:smallCaps w:val="false"/>
                <w:u w:val="singl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50" w:before="0" w:after="0"/>
              <w:jc w:val="both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5"/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5"/>
                <w:u w:val="single"/>
              </w:rPr>
              <w:t>partnerships, and organic initiatives.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right w:val="single" w:sz="2" w:space="0" w:color="8C8D8F"/>
            </w:tcBorders>
            <w:shd w:fill="EBEDEF" w:val="clear"/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EBEDEF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EBEDEF"/>
                <w:u w:val="none"/>
                <w:effect w:val="non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37160" cy="137160"/>
                  <wp:effectExtent l="0" t="0" r="0" b="0"/>
                  <wp:docPr id="185" name="Image185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5" name="Image185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160" cy="1371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185" w:name="i-185"/>
            <w:bookmarkEnd w:id="185"/>
          </w:p>
        </w:tc>
        <w:tc>
          <w:tcPr>
            <w:tcW w:w="302" w:type="dxa"/>
            <w:tcBorders>
              <w:left w:val="single" w:sz="2" w:space="0" w:color="8C8D8F"/>
              <w:right w:val="single" w:sz="2" w:space="0" w:color="8C8D8F"/>
            </w:tcBorders>
            <w:shd w:fill="EBEDEF" w:val="clear"/>
            <w:tcMar>
              <w:top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EBEDEF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EBEDEF"/>
                <w:u w:val="none"/>
                <w:effect w:val="non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37160" cy="137160"/>
                  <wp:effectExtent l="0" t="0" r="0" b="0"/>
                  <wp:docPr id="186" name="Image186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6" name="Image186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160" cy="1371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186" w:name="i-186"/>
            <w:bookmarkEnd w:id="186"/>
          </w:p>
        </w:tc>
        <w:tc>
          <w:tcPr>
            <w:tcW w:w="302" w:type="dxa"/>
            <w:tcBorders>
              <w:left w:val="single" w:sz="2" w:space="0" w:color="8C8D8F"/>
              <w:right w:val="single" w:sz="2" w:space="0" w:color="8C8D8F"/>
            </w:tcBorders>
            <w:shd w:fill="EBEDEF" w:val="clear"/>
            <w:tcMar>
              <w:top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EBEDEF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EBEDEF"/>
                <w:u w:val="none"/>
                <w:effect w:val="non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37160" cy="137160"/>
                  <wp:effectExtent l="0" t="0" r="0" b="0"/>
                  <wp:docPr id="187" name="Image187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7" name="Image187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160" cy="1371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187" w:name="i-187"/>
            <w:bookmarkEnd w:id="187"/>
          </w:p>
        </w:tc>
        <w:tc>
          <w:tcPr>
            <w:tcW w:w="302" w:type="dxa"/>
            <w:tcBorders>
              <w:left w:val="single" w:sz="2" w:space="0" w:color="8C8D8F"/>
              <w:right w:val="single" w:sz="2" w:space="0" w:color="8C8D8F"/>
            </w:tcBorders>
            <w:shd w:fill="EBEDEF" w:val="clear"/>
            <w:tcMar>
              <w:top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EBEDEF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EBEDEF"/>
                <w:u w:val="none"/>
                <w:effect w:val="non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37160" cy="137160"/>
                  <wp:effectExtent l="0" t="0" r="0" b="0"/>
                  <wp:docPr id="188" name="Image188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8" name="Image188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160" cy="1371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188" w:name="i-188"/>
            <w:bookmarkEnd w:id="188"/>
          </w:p>
        </w:tc>
        <w:tc>
          <w:tcPr>
            <w:tcW w:w="302" w:type="dxa"/>
            <w:tcBorders>
              <w:left w:val="single" w:sz="2" w:space="0" w:color="8C8D8F"/>
              <w:right w:val="single" w:sz="2" w:space="0" w:color="8C8D8F"/>
            </w:tcBorders>
            <w:shd w:fill="EBEDEF" w:val="clear"/>
            <w:tcMar>
              <w:top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EBEDEF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EBEDEF"/>
                <w:u w:val="none"/>
                <w:effect w:val="non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37160" cy="137160"/>
                  <wp:effectExtent l="0" t="0" r="0" b="0"/>
                  <wp:docPr id="189" name="Image189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9" name="Image189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160" cy="1371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189" w:name="i-189"/>
            <w:bookmarkEnd w:id="189"/>
          </w:p>
        </w:tc>
        <w:tc>
          <w:tcPr>
            <w:tcW w:w="302" w:type="dxa"/>
            <w:tcBorders>
              <w:left w:val="single" w:sz="2" w:space="0" w:color="8C8D8F"/>
              <w:right w:val="single" w:sz="2" w:space="0" w:color="8C8D8F"/>
            </w:tcBorders>
            <w:shd w:fill="EBEDEF" w:val="clear"/>
            <w:tcMar>
              <w:top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302" w:type="dxa"/>
            <w:tcBorders>
              <w:left w:val="single" w:sz="2" w:space="0" w:color="8C8D8F"/>
              <w:right w:val="single" w:sz="2" w:space="0" w:color="8C8D8F"/>
            </w:tcBorders>
            <w:shd w:fill="EBEDEF" w:val="clear"/>
            <w:tcMar>
              <w:top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EBEDEF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EBEDEF"/>
                <w:u w:val="none"/>
                <w:effect w:val="non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37160" cy="137160"/>
                  <wp:effectExtent l="0" t="0" r="0" b="0"/>
                  <wp:docPr id="190" name="Image190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0" name="Image190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160" cy="1371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190" w:name="i-190"/>
            <w:bookmarkEnd w:id="190"/>
          </w:p>
        </w:tc>
        <w:tc>
          <w:tcPr>
            <w:tcW w:w="302" w:type="dxa"/>
            <w:tcBorders>
              <w:left w:val="single" w:sz="2" w:space="0" w:color="8C8D8F"/>
              <w:right w:val="single" w:sz="2" w:space="0" w:color="8C8D8F"/>
            </w:tcBorders>
            <w:shd w:fill="EBEDEF" w:val="clear"/>
            <w:tcMar>
              <w:top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EBEDEF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EBEDEF"/>
                <w:u w:val="none"/>
                <w:effect w:val="non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37160" cy="137160"/>
                  <wp:effectExtent l="0" t="0" r="0" b="0"/>
                  <wp:docPr id="191" name="Image19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1" name="Image19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160" cy="1371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191" w:name="i-191"/>
            <w:bookmarkEnd w:id="191"/>
          </w:p>
        </w:tc>
        <w:tc>
          <w:tcPr>
            <w:tcW w:w="302" w:type="dxa"/>
            <w:tcBorders>
              <w:left w:val="single" w:sz="2" w:space="0" w:color="8C8D8F"/>
              <w:right w:val="single" w:sz="2" w:space="0" w:color="8C8D8F"/>
            </w:tcBorders>
            <w:shd w:fill="EBEDEF" w:val="clear"/>
            <w:tcMar>
              <w:top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EBEDEF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EBEDEF"/>
                <w:u w:val="none"/>
                <w:effect w:val="non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37160" cy="137160"/>
                  <wp:effectExtent l="0" t="0" r="0" b="0"/>
                  <wp:docPr id="192" name="Image19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2" name="Image19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160" cy="1371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192" w:name="i-192"/>
            <w:bookmarkEnd w:id="192"/>
          </w:p>
        </w:tc>
        <w:tc>
          <w:tcPr>
            <w:tcW w:w="347" w:type="dxa"/>
            <w:tcBorders>
              <w:left w:val="single" w:sz="2" w:space="0" w:color="8C8D8F"/>
            </w:tcBorders>
            <w:shd w:fill="EBEDEF" w:val="clear"/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</w:rPr>
            </w:pPr>
            <w:r>
              <w:rPr>
                <w:caps w:val="false"/>
                <w:smallCaps w:val="fals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37160" cy="137160"/>
                  <wp:effectExtent l="0" t="0" r="0" b="0"/>
                  <wp:docPr id="193" name="Image193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3" name="Image193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160" cy="1371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193" w:name="i-193"/>
            <w:bookmarkEnd w:id="193"/>
          </w:p>
        </w:tc>
      </w:tr>
      <w:tr>
        <w:trPr/>
        <w:tc>
          <w:tcPr>
            <w:tcW w:w="5401" w:type="dxa"/>
            <w:tcBorders>
              <w:bottom w:val="single" w:sz="2" w:space="0" w:color="8C8D8F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bottom w:val="single" w:sz="2" w:space="0" w:color="8C8D8F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bottom w:val="single" w:sz="2" w:space="0" w:color="8C8D8F"/>
              <w:right w:val="single" w:sz="2" w:space="0" w:color="8C8D8F"/>
            </w:tcBorders>
            <w:shd w:fill="EBEDEF" w:val="clear"/>
            <w:tcMar>
              <w:top w:w="0" w:type="dxa"/>
              <w:lef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left w:val="single" w:sz="2" w:space="0" w:color="8C8D8F"/>
              <w:bottom w:val="single" w:sz="2" w:space="0" w:color="8C8D8F"/>
              <w:right w:val="single" w:sz="2" w:space="0" w:color="8C8D8F"/>
            </w:tcBorders>
            <w:shd w:fill="EBEDEF" w:val="clear"/>
            <w:tcMar>
              <w:top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left w:val="single" w:sz="2" w:space="0" w:color="8C8D8F"/>
              <w:bottom w:val="single" w:sz="2" w:space="0" w:color="8C8D8F"/>
              <w:right w:val="single" w:sz="2" w:space="0" w:color="8C8D8F"/>
            </w:tcBorders>
            <w:shd w:fill="EBEDEF" w:val="clear"/>
            <w:tcMar>
              <w:top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left w:val="single" w:sz="2" w:space="0" w:color="8C8D8F"/>
              <w:bottom w:val="single" w:sz="2" w:space="0" w:color="8C8D8F"/>
              <w:right w:val="single" w:sz="2" w:space="0" w:color="8C8D8F"/>
            </w:tcBorders>
            <w:shd w:fill="EBEDEF" w:val="clear"/>
            <w:tcMar>
              <w:top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left w:val="single" w:sz="2" w:space="0" w:color="8C8D8F"/>
              <w:bottom w:val="single" w:sz="2" w:space="0" w:color="8C8D8F"/>
              <w:right w:val="single" w:sz="2" w:space="0" w:color="8C8D8F"/>
            </w:tcBorders>
            <w:shd w:fill="EBEDEF" w:val="clear"/>
            <w:tcMar>
              <w:top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left w:val="single" w:sz="2" w:space="0" w:color="8C8D8F"/>
              <w:bottom w:val="single" w:sz="2" w:space="0" w:color="8C8D8F"/>
              <w:right w:val="single" w:sz="2" w:space="0" w:color="8C8D8F"/>
            </w:tcBorders>
            <w:shd w:fill="EBEDEF" w:val="clear"/>
            <w:tcMar>
              <w:top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left w:val="single" w:sz="2" w:space="0" w:color="8C8D8F"/>
              <w:bottom w:val="single" w:sz="2" w:space="0" w:color="8C8D8F"/>
              <w:right w:val="single" w:sz="2" w:space="0" w:color="8C8D8F"/>
            </w:tcBorders>
            <w:shd w:fill="EBEDEF" w:val="clear"/>
            <w:tcMar>
              <w:top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left w:val="single" w:sz="2" w:space="0" w:color="8C8D8F"/>
              <w:bottom w:val="single" w:sz="2" w:space="0" w:color="8C8D8F"/>
              <w:right w:val="single" w:sz="2" w:space="0" w:color="8C8D8F"/>
            </w:tcBorders>
            <w:shd w:fill="EBEDEF" w:val="clear"/>
            <w:tcMar>
              <w:top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left w:val="single" w:sz="2" w:space="0" w:color="8C8D8F"/>
              <w:bottom w:val="single" w:sz="2" w:space="0" w:color="8C8D8F"/>
              <w:right w:val="single" w:sz="2" w:space="0" w:color="8C8D8F"/>
            </w:tcBorders>
            <w:shd w:fill="EBEDEF" w:val="clear"/>
            <w:tcMar>
              <w:top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7" w:type="dxa"/>
            <w:tcBorders>
              <w:left w:val="single" w:sz="2" w:space="0" w:color="8C8D8F"/>
              <w:bottom w:val="single" w:sz="2" w:space="0" w:color="8C8D8F"/>
            </w:tcBorders>
            <w:shd w:fill="EBEDEF" w:val="clear"/>
            <w:tcMar>
              <w:top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5401" w:type="dxa"/>
            <w:tcBorders>
              <w:top w:val="single" w:sz="2" w:space="0" w:color="8C8D8F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top w:val="single" w:sz="2" w:space="0" w:color="8C8D8F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top w:val="single" w:sz="2" w:space="0" w:color="8C8D8F"/>
              <w:right w:val="single" w:sz="2" w:space="0" w:color="8C8D8F"/>
            </w:tcBorders>
            <w:shd w:fill="EBEDEF" w:val="clear"/>
            <w:tcMar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top w:val="single" w:sz="2" w:space="0" w:color="8C8D8F"/>
              <w:left w:val="single" w:sz="2" w:space="0" w:color="8C8D8F"/>
              <w:right w:val="single" w:sz="2" w:space="0" w:color="8C8D8F"/>
            </w:tcBorders>
            <w:shd w:fill="EBEDEF" w:val="clear"/>
            <w:tcMar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top w:val="single" w:sz="2" w:space="0" w:color="8C8D8F"/>
              <w:left w:val="single" w:sz="2" w:space="0" w:color="8C8D8F"/>
              <w:right w:val="single" w:sz="2" w:space="0" w:color="8C8D8F"/>
            </w:tcBorders>
            <w:shd w:fill="EBEDEF" w:val="clear"/>
            <w:tcMar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top w:val="single" w:sz="2" w:space="0" w:color="8C8D8F"/>
              <w:left w:val="single" w:sz="2" w:space="0" w:color="8C8D8F"/>
              <w:right w:val="single" w:sz="2" w:space="0" w:color="8C8D8F"/>
            </w:tcBorders>
            <w:shd w:fill="EBEDEF" w:val="clear"/>
            <w:tcMar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top w:val="single" w:sz="2" w:space="0" w:color="8C8D8F"/>
              <w:left w:val="single" w:sz="2" w:space="0" w:color="8C8D8F"/>
              <w:right w:val="single" w:sz="2" w:space="0" w:color="8C8D8F"/>
            </w:tcBorders>
            <w:shd w:fill="EBEDEF" w:val="clear"/>
            <w:tcMar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top w:val="single" w:sz="2" w:space="0" w:color="8C8D8F"/>
              <w:left w:val="single" w:sz="2" w:space="0" w:color="8C8D8F"/>
              <w:right w:val="single" w:sz="2" w:space="0" w:color="8C8D8F"/>
            </w:tcBorders>
            <w:shd w:fill="EBEDEF" w:val="clear"/>
            <w:tcMar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top w:val="single" w:sz="2" w:space="0" w:color="8C8D8F"/>
              <w:left w:val="single" w:sz="2" w:space="0" w:color="8C8D8F"/>
              <w:right w:val="single" w:sz="2" w:space="0" w:color="8C8D8F"/>
            </w:tcBorders>
            <w:shd w:fill="EBEDEF" w:val="clear"/>
            <w:tcMar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top w:val="single" w:sz="2" w:space="0" w:color="8C8D8F"/>
              <w:left w:val="single" w:sz="2" w:space="0" w:color="8C8D8F"/>
              <w:right w:val="single" w:sz="2" w:space="0" w:color="8C8D8F"/>
            </w:tcBorders>
            <w:shd w:fill="EBEDEF" w:val="clear"/>
            <w:tcMar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top w:val="single" w:sz="2" w:space="0" w:color="8C8D8F"/>
              <w:left w:val="single" w:sz="2" w:space="0" w:color="8C8D8F"/>
              <w:right w:val="single" w:sz="2" w:space="0" w:color="8C8D8F"/>
            </w:tcBorders>
            <w:shd w:fill="EBEDEF" w:val="clear"/>
            <w:tcMar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7" w:type="dxa"/>
            <w:tcBorders>
              <w:top w:val="single" w:sz="2" w:space="0" w:color="8C8D8F"/>
              <w:left w:val="single" w:sz="2" w:space="0" w:color="8C8D8F"/>
            </w:tcBorders>
            <w:shd w:fill="EBEDEF" w:val="clear"/>
            <w:tcMar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5401" w:type="dxa"/>
            <w:tcBorders/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both"/>
              <w:rPr>
                <w:rFonts w:ascii="Arial;sans-serif" w:hAnsi="Arial;sans-serif"/>
                <w:b/>
                <w:i w:val="false"/>
                <w:caps w:val="false"/>
                <w:smallCaps w:val="false"/>
                <w:sz w:val="17"/>
                <w:u w:val="singl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z w:val="17"/>
                <w:u w:val="single"/>
              </w:rPr>
              <w:t>Technology:</w:t>
            </w:r>
          </w:p>
          <w:p>
            <w:pPr>
              <w:pStyle w:val="TableContents"/>
              <w:bidi w:val="0"/>
              <w:spacing w:lineRule="atLeast" w:line="15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5"/>
                <w:u w:val="single"/>
              </w:rPr>
              <w:t>Staying apprised of relevant technological advancements applicable to our</w:t>
            </w:r>
            <w:r>
              <w:rPr>
                <w:caps w:val="false"/>
                <w:smallCaps w:val="false"/>
                <w:u w:val="singl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5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5"/>
                <w:u w:val="single"/>
              </w:rPr>
              <w:t>business, including with respect to Artificial Intelligence, allows the Board of</w:t>
            </w:r>
            <w:r>
              <w:rPr>
                <w:caps w:val="false"/>
                <w:smallCaps w:val="false"/>
                <w:u w:val="singl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5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5"/>
                <w:u w:val="single"/>
              </w:rPr>
              <w:t>Directors to effectively oversee core elements of our daily operations and</w:t>
            </w:r>
            <w:r>
              <w:rPr>
                <w:caps w:val="false"/>
                <w:smallCaps w:val="false"/>
                <w:u w:val="singl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50" w:before="0" w:after="0"/>
              <w:jc w:val="both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5"/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5"/>
                <w:u w:val="single"/>
              </w:rPr>
              <w:t>competitive activities.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right w:val="single" w:sz="2" w:space="0" w:color="8C8D8F"/>
            </w:tcBorders>
            <w:shd w:fill="EBEDEF" w:val="clear"/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302" w:type="dxa"/>
            <w:tcBorders>
              <w:left w:val="single" w:sz="2" w:space="0" w:color="8C8D8F"/>
              <w:right w:val="single" w:sz="2" w:space="0" w:color="8C8D8F"/>
            </w:tcBorders>
            <w:shd w:fill="EBEDEF" w:val="clear"/>
            <w:tcMar>
              <w:top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EBEDEF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EBEDEF"/>
                <w:u w:val="none"/>
                <w:effect w:val="non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37160" cy="137160"/>
                  <wp:effectExtent l="0" t="0" r="0" b="0"/>
                  <wp:docPr id="194" name="Image194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4" name="Image194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160" cy="1371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194" w:name="i-194"/>
            <w:bookmarkEnd w:id="194"/>
          </w:p>
        </w:tc>
        <w:tc>
          <w:tcPr>
            <w:tcW w:w="302" w:type="dxa"/>
            <w:tcBorders>
              <w:left w:val="single" w:sz="2" w:space="0" w:color="8C8D8F"/>
              <w:right w:val="single" w:sz="2" w:space="0" w:color="8C8D8F"/>
            </w:tcBorders>
            <w:shd w:fill="EBEDEF" w:val="clear"/>
            <w:tcMar>
              <w:top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302" w:type="dxa"/>
            <w:tcBorders>
              <w:left w:val="single" w:sz="2" w:space="0" w:color="8C8D8F"/>
              <w:right w:val="single" w:sz="2" w:space="0" w:color="8C8D8F"/>
            </w:tcBorders>
            <w:shd w:fill="EBEDEF" w:val="clear"/>
            <w:tcMar>
              <w:top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EBEDEF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EBEDEF"/>
                <w:u w:val="none"/>
                <w:effect w:val="non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37160" cy="137160"/>
                  <wp:effectExtent l="0" t="0" r="0" b="0"/>
                  <wp:docPr id="195" name="Image195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5" name="Image195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160" cy="1371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195" w:name="i-195"/>
            <w:bookmarkEnd w:id="195"/>
          </w:p>
        </w:tc>
        <w:tc>
          <w:tcPr>
            <w:tcW w:w="302" w:type="dxa"/>
            <w:tcBorders>
              <w:left w:val="single" w:sz="2" w:space="0" w:color="8C8D8F"/>
              <w:right w:val="single" w:sz="2" w:space="0" w:color="8C8D8F"/>
            </w:tcBorders>
            <w:shd w:fill="EBEDEF" w:val="clear"/>
            <w:tcMar>
              <w:top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EBEDEF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EBEDEF"/>
                <w:u w:val="none"/>
                <w:effect w:val="non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37160" cy="137160"/>
                  <wp:effectExtent l="0" t="0" r="0" b="0"/>
                  <wp:docPr id="196" name="Image196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6" name="Image196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160" cy="1371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196" w:name="i-196"/>
            <w:bookmarkEnd w:id="196"/>
          </w:p>
        </w:tc>
        <w:tc>
          <w:tcPr>
            <w:tcW w:w="302" w:type="dxa"/>
            <w:tcBorders>
              <w:left w:val="single" w:sz="2" w:space="0" w:color="8C8D8F"/>
              <w:right w:val="single" w:sz="2" w:space="0" w:color="8C8D8F"/>
            </w:tcBorders>
            <w:shd w:fill="EBEDEF" w:val="clear"/>
            <w:tcMar>
              <w:top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EBEDEF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EBEDEF"/>
                <w:u w:val="none"/>
                <w:effect w:val="non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37160" cy="137160"/>
                  <wp:effectExtent l="0" t="0" r="0" b="0"/>
                  <wp:docPr id="197" name="Image197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7" name="Image197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160" cy="1371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197" w:name="i-197"/>
            <w:bookmarkEnd w:id="197"/>
          </w:p>
        </w:tc>
        <w:tc>
          <w:tcPr>
            <w:tcW w:w="302" w:type="dxa"/>
            <w:tcBorders>
              <w:left w:val="single" w:sz="2" w:space="0" w:color="8C8D8F"/>
              <w:right w:val="single" w:sz="2" w:space="0" w:color="8C8D8F"/>
            </w:tcBorders>
            <w:shd w:fill="EBEDEF" w:val="clear"/>
            <w:tcMar>
              <w:top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302" w:type="dxa"/>
            <w:tcBorders>
              <w:left w:val="single" w:sz="2" w:space="0" w:color="8C8D8F"/>
              <w:right w:val="single" w:sz="2" w:space="0" w:color="8C8D8F"/>
            </w:tcBorders>
            <w:shd w:fill="EBEDEF" w:val="clear"/>
            <w:tcMar>
              <w:top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EBEDEF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EBEDEF"/>
                <w:u w:val="none"/>
                <w:effect w:val="non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37160" cy="137160"/>
                  <wp:effectExtent l="0" t="0" r="0" b="0"/>
                  <wp:docPr id="198" name="Image198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8" name="Image198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160" cy="1371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198" w:name="i-198"/>
            <w:bookmarkEnd w:id="198"/>
          </w:p>
        </w:tc>
        <w:tc>
          <w:tcPr>
            <w:tcW w:w="302" w:type="dxa"/>
            <w:tcBorders>
              <w:left w:val="single" w:sz="2" w:space="0" w:color="8C8D8F"/>
              <w:right w:val="single" w:sz="2" w:space="0" w:color="8C8D8F"/>
            </w:tcBorders>
            <w:shd w:fill="EBEDEF" w:val="clear"/>
            <w:tcMar>
              <w:top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EBEDEF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EBEDEF"/>
                <w:u w:val="none"/>
                <w:effect w:val="non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37160" cy="137160"/>
                  <wp:effectExtent l="0" t="0" r="0" b="0"/>
                  <wp:docPr id="199" name="Image199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9" name="Image199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160" cy="1371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199" w:name="i-199"/>
            <w:bookmarkEnd w:id="199"/>
          </w:p>
        </w:tc>
        <w:tc>
          <w:tcPr>
            <w:tcW w:w="347" w:type="dxa"/>
            <w:tcBorders>
              <w:left w:val="single" w:sz="2" w:space="0" w:color="8C8D8F"/>
            </w:tcBorders>
            <w:shd w:fill="EBEDEF" w:val="clear"/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</w:rPr>
            </w:pPr>
            <w:r>
              <w:rPr>
                <w:caps w:val="false"/>
                <w:smallCaps w:val="fals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37160" cy="137160"/>
                  <wp:effectExtent l="0" t="0" r="0" b="0"/>
                  <wp:docPr id="200" name="Image200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0" name="Image200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160" cy="1371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200" w:name="i-200"/>
            <w:bookmarkEnd w:id="200"/>
          </w:p>
        </w:tc>
      </w:tr>
      <w:tr>
        <w:trPr/>
        <w:tc>
          <w:tcPr>
            <w:tcW w:w="5401" w:type="dxa"/>
            <w:tcBorders>
              <w:bottom w:val="single" w:sz="2" w:space="0" w:color="8C8D8F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bottom w:val="single" w:sz="2" w:space="0" w:color="8C8D8F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bottom w:val="single" w:sz="2" w:space="0" w:color="8C8D8F"/>
              <w:right w:val="single" w:sz="2" w:space="0" w:color="8C8D8F"/>
            </w:tcBorders>
            <w:shd w:fill="EBEDEF" w:val="clear"/>
            <w:tcMar>
              <w:top w:w="0" w:type="dxa"/>
              <w:lef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left w:val="single" w:sz="2" w:space="0" w:color="8C8D8F"/>
              <w:bottom w:val="single" w:sz="2" w:space="0" w:color="8C8D8F"/>
              <w:right w:val="single" w:sz="2" w:space="0" w:color="8C8D8F"/>
            </w:tcBorders>
            <w:shd w:fill="EBEDEF" w:val="clear"/>
            <w:tcMar>
              <w:top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left w:val="single" w:sz="2" w:space="0" w:color="8C8D8F"/>
              <w:bottom w:val="single" w:sz="2" w:space="0" w:color="8C8D8F"/>
              <w:right w:val="single" w:sz="2" w:space="0" w:color="8C8D8F"/>
            </w:tcBorders>
            <w:shd w:fill="EBEDEF" w:val="clear"/>
            <w:tcMar>
              <w:top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left w:val="single" w:sz="2" w:space="0" w:color="8C8D8F"/>
              <w:bottom w:val="single" w:sz="2" w:space="0" w:color="8C8D8F"/>
              <w:right w:val="single" w:sz="2" w:space="0" w:color="8C8D8F"/>
            </w:tcBorders>
            <w:shd w:fill="EBEDEF" w:val="clear"/>
            <w:tcMar>
              <w:top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left w:val="single" w:sz="2" w:space="0" w:color="8C8D8F"/>
              <w:bottom w:val="single" w:sz="2" w:space="0" w:color="8C8D8F"/>
              <w:right w:val="single" w:sz="2" w:space="0" w:color="8C8D8F"/>
            </w:tcBorders>
            <w:shd w:fill="EBEDEF" w:val="clear"/>
            <w:tcMar>
              <w:top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left w:val="single" w:sz="2" w:space="0" w:color="8C8D8F"/>
              <w:bottom w:val="single" w:sz="2" w:space="0" w:color="8C8D8F"/>
              <w:right w:val="single" w:sz="2" w:space="0" w:color="8C8D8F"/>
            </w:tcBorders>
            <w:shd w:fill="EBEDEF" w:val="clear"/>
            <w:tcMar>
              <w:top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left w:val="single" w:sz="2" w:space="0" w:color="8C8D8F"/>
              <w:bottom w:val="single" w:sz="2" w:space="0" w:color="8C8D8F"/>
              <w:right w:val="single" w:sz="2" w:space="0" w:color="8C8D8F"/>
            </w:tcBorders>
            <w:shd w:fill="EBEDEF" w:val="clear"/>
            <w:tcMar>
              <w:top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left w:val="single" w:sz="2" w:space="0" w:color="8C8D8F"/>
              <w:bottom w:val="single" w:sz="2" w:space="0" w:color="8C8D8F"/>
              <w:right w:val="single" w:sz="2" w:space="0" w:color="8C8D8F"/>
            </w:tcBorders>
            <w:shd w:fill="EBEDEF" w:val="clear"/>
            <w:tcMar>
              <w:top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left w:val="single" w:sz="2" w:space="0" w:color="8C8D8F"/>
              <w:bottom w:val="single" w:sz="2" w:space="0" w:color="8C8D8F"/>
              <w:right w:val="single" w:sz="2" w:space="0" w:color="8C8D8F"/>
            </w:tcBorders>
            <w:shd w:fill="EBEDEF" w:val="clear"/>
            <w:tcMar>
              <w:top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7" w:type="dxa"/>
            <w:tcBorders>
              <w:left w:val="single" w:sz="2" w:space="0" w:color="8C8D8F"/>
              <w:bottom w:val="single" w:sz="2" w:space="0" w:color="8C8D8F"/>
            </w:tcBorders>
            <w:shd w:fill="EBEDEF" w:val="clear"/>
            <w:tcMar>
              <w:top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(1)Information as of July 27, 2026. A “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”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in the chart indicates a specific area of focus or expertise that is particularly relevant to a director’s service on our Board.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before="0" w:after="0"/>
        <w:jc w:val="both"/>
        <w:rPr>
          <w:u w:val="single"/>
        </w:rPr>
      </w:pPr>
      <w:r>
        <w:rPr>
          <w:u w:val="single"/>
        </w:rPr>
        <w:drawing>
          <wp:inline distT="0" distB="0" distL="0" distR="0">
            <wp:extent cx="91440" cy="91440"/>
            <wp:effectExtent l="0" t="0" r="0" b="0"/>
            <wp:docPr id="201" name="Image20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1" name="Image201" descr=""/>
                    <pic:cNvPicPr>
                      <a:picLocks noChangeAspect="1" noChangeArrowheads="1"/>
                    </pic:cNvPicPr>
                  </pic:nvPicPr>
                  <pic:blipFill>
                    <a:blip r:embed="rId20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" cy="91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201" w:name="i-201"/>
      <w:bookmarkEnd w:id="201"/>
    </w:p>
    <w:p>
      <w:pPr>
        <w:pStyle w:val="TextBody"/>
        <w:bidi w:val="0"/>
        <w:spacing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The absence of a “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”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does not mean that a director does not also possess meaningful experience or skill in that area.</w:t>
      </w:r>
    </w:p>
    <w:p>
      <w:pPr>
        <w:pStyle w:val="TextBody"/>
        <w:bidi w:val="0"/>
        <w:spacing w:before="0" w:after="0"/>
        <w:jc w:val="both"/>
        <w:rPr>
          <w:u w:val="single"/>
        </w:rPr>
      </w:pPr>
      <w:r>
        <w:rPr>
          <w:u w:val="single"/>
        </w:rPr>
        <w:drawing>
          <wp:inline distT="0" distB="0" distL="0" distR="0">
            <wp:extent cx="91440" cy="91440"/>
            <wp:effectExtent l="0" t="0" r="0" b="0"/>
            <wp:docPr id="202" name="Image20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2" name="Image202" descr=""/>
                    <pic:cNvPicPr>
                      <a:picLocks noChangeAspect="1" noChangeArrowheads="1"/>
                    </pic:cNvPicPr>
                  </pic:nvPicPr>
                  <pic:blipFill>
                    <a:blip r:embed="rId20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" cy="91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202" w:name="i-202"/>
      <w:bookmarkEnd w:id="202"/>
    </w:p>
    <w:tbl>
      <w:tblPr>
        <w:tblW w:w="493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301"/>
        <w:gridCol w:w="4636"/>
      </w:tblGrid>
      <w:tr>
        <w:trPr/>
        <w:tc>
          <w:tcPr>
            <w:tcW w:w="30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0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16</w:t>
            </w:r>
          </w:p>
        </w:tc>
        <w:tc>
          <w:tcPr>
            <w:tcW w:w="4636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sz w:val="24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TAKE-TWO INTERACTIVE SOFTWARE, INC.   |   2026</w:t>
            </w:r>
            <w:r>
              <w:rPr>
                <w:caps w:val="false"/>
                <w:smallCaps w:val="false"/>
                <w:strike w:val="false"/>
                <w:dstrike w:val="false"/>
                <w:color w:val="18333C"/>
                <w:sz w:val="24"/>
                <w:u w:val="none"/>
                <w:effect w:val="none"/>
              </w:rPr>
              <w:t xml:space="preserve"> 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Proxy Statement</w:t>
            </w:r>
          </w:p>
        </w:tc>
      </w:tr>
    </w:tbl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38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38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38"/>
          <w:u w:val="none"/>
          <w:effect w:val="none"/>
        </w:rPr>
        <w:t>CORPORATE GOVERNANCE AND BOARD PRACTICES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8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28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28"/>
          <w:u w:val="none"/>
          <w:effect w:val="none"/>
        </w:rPr>
        <w:t>Board Leadership Structure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The Company’s governance framework provides the Board of Directors with the flexibility to select the appropriate leadership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structure for the Company. This determination is conducted at least annually and is based on a multitude of factors, including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the current and future strategic and governance needs of the business.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For fiscal 2026, the Board of Directors decided to continue with a leadership structure comprised of a combined Chairman of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the Board and CEO, a Lead Independent Director, and Board committees led by independent directors. The Board of Directors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believes that in light of the Company’s clear strategy and the strength of its overall governance practices, at this time a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combined Chairman/CEO role more effectively unifies the Board of Directors and management around the specific initiatives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necessary to support the Company’s strategy.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Mr. Zelnick currently serves as both the Chief Executive Officer and Executive Chairman of the Company. The independent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directors of the Board of Directors have elected Ms. Srinivasan to serve as our Lead Independent Director (as described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below), a role that complements the Executive Chairman’s role and serves as the principal liaison between the independent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directors and the Executive Chairman and Company management. Ms. Srinivasan has held this position since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September 2023.</w:t>
      </w:r>
    </w:p>
    <w:p>
      <w:pPr>
        <w:pStyle w:val="TextBody"/>
        <w:bidi w:val="0"/>
        <w:spacing w:lineRule="atLeast" w:line="24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24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24"/>
          <w:u w:val="none"/>
          <w:effect w:val="none"/>
        </w:rPr>
        <w:t>Lead Independent Director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The Lead Independent Director serves as the principal liaison between the independent directors and the Executive Chairman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and is responsible for:</w:t>
      </w:r>
    </w:p>
    <w:p>
      <w:pPr>
        <w:pStyle w:val="TextBody"/>
        <w:bidi w:val="0"/>
        <w:spacing w:before="0" w:after="0"/>
        <w:jc w:val="left"/>
        <w:rPr>
          <w:shd w:fill="auto" w:val="clear"/>
        </w:rPr>
      </w:pPr>
      <w:r>
        <w:rPr>
          <w:shd w:fill="auto" w:val="clear"/>
        </w:rPr>
        <w:drawing>
          <wp:inline distT="0" distB="0" distL="0" distR="0">
            <wp:extent cx="6598920" cy="2251710"/>
            <wp:effectExtent l="0" t="0" r="0" b="0"/>
            <wp:docPr id="203" name="Image20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" name="Image203" descr=""/>
                    <pic:cNvPicPr>
                      <a:picLocks noChangeAspect="1" noChangeArrowheads="1"/>
                    </pic:cNvPicPr>
                  </pic:nvPicPr>
                  <pic:blipFill>
                    <a:blip r:embed="rId20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98920" cy="22517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203" w:name="i-203"/>
      <w:bookmarkEnd w:id="203"/>
    </w:p>
    <w:tbl>
      <w:tblPr>
        <w:tblW w:w="4973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4"/>
        <w:gridCol w:w="273"/>
        <w:gridCol w:w="4576"/>
      </w:tblGrid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3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18745" cy="121920"/>
                  <wp:effectExtent l="0" t="0" r="0" b="0"/>
                  <wp:docPr id="204" name="Image204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4" name="Image204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745" cy="1219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204" w:name="i-204"/>
            <w:bookmarkEnd w:id="204"/>
          </w:p>
        </w:tc>
        <w:tc>
          <w:tcPr>
            <w:tcW w:w="457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Presiding at all Board of Directors meetings at which</w:t>
            </w: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80" w:before="0" w:after="0"/>
              <w:jc w:val="both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the Chairman of the Board is not present</w:t>
            </w:r>
          </w:p>
        </w:tc>
      </w:tr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3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18745" cy="121920"/>
                  <wp:effectExtent l="0" t="0" r="0" b="0"/>
                  <wp:docPr id="205" name="Image205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5" name="Image205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745" cy="1219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205" w:name="i-205"/>
            <w:bookmarkEnd w:id="205"/>
          </w:p>
        </w:tc>
        <w:tc>
          <w:tcPr>
            <w:tcW w:w="457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Convening regular and special meetings of the</w:t>
            </w: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80" w:before="0" w:after="0"/>
              <w:jc w:val="both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independent directors</w:t>
            </w:r>
          </w:p>
        </w:tc>
      </w:tr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3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18745" cy="121920"/>
                  <wp:effectExtent l="0" t="0" r="0" b="0"/>
                  <wp:docPr id="206" name="Image206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6" name="Image206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745" cy="1219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206" w:name="i-206"/>
            <w:bookmarkEnd w:id="206"/>
          </w:p>
        </w:tc>
        <w:tc>
          <w:tcPr>
            <w:tcW w:w="457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Developing the agenda for executive sessions of the</w:t>
            </w: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8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independent directors and working with the Chairman</w:t>
            </w: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8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to develop and approve the agenda for meetings of</w:t>
            </w: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8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the full Board of Directors, including scheduling to</w:t>
            </w: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80" w:before="0" w:after="0"/>
              <w:jc w:val="both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ensure there is sufficient time for discussion</w:t>
            </w:r>
          </w:p>
        </w:tc>
      </w:tr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3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18745" cy="121920"/>
                  <wp:effectExtent l="0" t="0" r="0" b="0"/>
                  <wp:docPr id="207" name="Image207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7" name="Image207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745" cy="1219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207" w:name="i-207"/>
            <w:bookmarkEnd w:id="207"/>
          </w:p>
        </w:tc>
        <w:tc>
          <w:tcPr>
            <w:tcW w:w="457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Coordinating feedback to the Chairman on behalf of</w:t>
            </w: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80" w:before="0" w:after="0"/>
              <w:jc w:val="both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the independent directors</w:t>
            </w:r>
          </w:p>
        </w:tc>
      </w:tr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4958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88"/>
        <w:gridCol w:w="4516"/>
        <w:gridCol w:w="154"/>
      </w:tblGrid>
      <w:tr>
        <w:trPr/>
        <w:tc>
          <w:tcPr>
            <w:tcW w:w="2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1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1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88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18745" cy="121920"/>
                  <wp:effectExtent l="0" t="0" r="0" b="0"/>
                  <wp:docPr id="208" name="Image208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8" name="Image208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745" cy="1219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208" w:name="i-208"/>
            <w:bookmarkEnd w:id="208"/>
          </w:p>
        </w:tc>
        <w:tc>
          <w:tcPr>
            <w:tcW w:w="451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Coordinating with the Company’s Chief Legal Officer</w:t>
            </w: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8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to respond to shareholders who have addressed a</w:t>
            </w: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80" w:before="0" w:after="0"/>
              <w:jc w:val="both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communication to the independent directors</w:t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1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88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18745" cy="121920"/>
                  <wp:effectExtent l="0" t="0" r="0" b="0"/>
                  <wp:docPr id="209" name="Image209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9" name="Image209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745" cy="1219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209" w:name="i-209"/>
            <w:bookmarkEnd w:id="209"/>
          </w:p>
        </w:tc>
        <w:tc>
          <w:tcPr>
            <w:tcW w:w="451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Making herself available for shareholder</w:t>
            </w: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8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communication, as appropriate (other independent</w:t>
            </w: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8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directors may also participate in such communication</w:t>
            </w: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80" w:before="0" w:after="0"/>
              <w:jc w:val="both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at times)</w:t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1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88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18745" cy="121920"/>
                  <wp:effectExtent l="0" t="0" r="0" b="0"/>
                  <wp:docPr id="210" name="Image210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0" name="Image210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745" cy="1219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210" w:name="i-210"/>
            <w:bookmarkEnd w:id="210"/>
          </w:p>
        </w:tc>
        <w:tc>
          <w:tcPr>
            <w:tcW w:w="451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Handling any matters concerning an actual or</w:t>
            </w: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80" w:before="0" w:after="0"/>
              <w:jc w:val="both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potential conflict of interest involving any other director</w:t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1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The Lead Independent Director spends significant time engaging separately with one or more of the Chief Executive Officer, the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President, the Chief Financial Officer and the Chief Legal Officer to discuss the Company’s business strategy in greater detail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and provide additional guidance to management. These meetings enable the Lead Independent Director to gain a deeper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understanding of any matters being handled by management which should be brought to the attention of the entire Board of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Directors or a committee thereof, as well as an opportunity to obtain additional information on any matters which the Lead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Independent Director believes may otherwise be of interest to the other directors and to provide advice to the other directors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regarding such matters. The Lead Independent Director is also invited to all meetings of the committees of the Board of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Directors and attended all such meetings in fiscal 2026.</w:t>
      </w:r>
    </w:p>
    <w:tbl>
      <w:tblPr>
        <w:tblW w:w="4982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4651"/>
        <w:gridCol w:w="331"/>
      </w:tblGrid>
      <w:tr>
        <w:trPr/>
        <w:tc>
          <w:tcPr>
            <w:tcW w:w="46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651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sz w:val="24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TAKE-TWO INTERACTIVE SOFTWARE, INC.   |   2026</w:t>
            </w:r>
            <w:r>
              <w:rPr>
                <w:caps w:val="false"/>
                <w:smallCaps w:val="false"/>
                <w:strike w:val="false"/>
                <w:dstrike w:val="false"/>
                <w:color w:val="18333C"/>
                <w:sz w:val="24"/>
                <w:u w:val="none"/>
                <w:effect w:val="none"/>
              </w:rPr>
              <w:t xml:space="preserve"> 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 xml:space="preserve">Proxy Statement </w:t>
            </w:r>
          </w:p>
        </w:tc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17</w:t>
            </w:r>
          </w:p>
        </w:tc>
      </w:tr>
    </w:tbl>
    <w:p>
      <w:pPr>
        <w:pStyle w:val="TextBody"/>
        <w:bidi w:val="0"/>
        <w:spacing w:lineRule="atLeast" w:line="142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3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3"/>
          <w:u w:val="none"/>
          <w:effect w:val="none"/>
        </w:rPr>
        <w:t>CORPORATE GOVERNANCE AND BOARD PRACTICES</w:t>
      </w:r>
    </w:p>
    <w:p>
      <w:pPr>
        <w:pStyle w:val="TextBody"/>
        <w:bidi w:val="0"/>
        <w:spacing w:lineRule="atLeast" w:line="142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2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2"/>
          <w:u w:val="none"/>
          <w:effect w:val="none"/>
        </w:rPr>
        <w:t>BOARD COMMITTEES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8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28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28"/>
          <w:u w:val="none"/>
          <w:effect w:val="none"/>
        </w:rPr>
        <w:t>Board Committees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The Board of Directors has four standing committees entirely comprised of independent directors: a Compensation Committee,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a Corporate Governance Committee, an Audit Committee, and a Technology Risk Committee, which is a new committee the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Board formed in October 2025 to enable effective oversight of emerging opportunities and risks related to technology. The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Board of Directors also has a standing Executive Committee, currently comprised of Lead Independent Director Ms. Srinivasan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(Chair), and Messrs. Dornemann and Zelnick. These five committees are governed by written charters which are posted in the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Corporate Governance tab on the Company’s website at www.take2games.com. The Company’s Code of Business Conduct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and Ethics is also posted on the Company’s website at www.take2games.com under the “Policies &amp; Conduct” tab.</w:t>
      </w:r>
    </w:p>
    <w:tbl>
      <w:tblPr>
        <w:tblW w:w="7822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951"/>
        <w:gridCol w:w="1276"/>
        <w:gridCol w:w="109"/>
        <w:gridCol w:w="1066"/>
        <w:gridCol w:w="109"/>
        <w:gridCol w:w="976"/>
        <w:gridCol w:w="109"/>
        <w:gridCol w:w="1096"/>
        <w:gridCol w:w="109"/>
        <w:gridCol w:w="1021"/>
      </w:tblGrid>
      <w:tr>
        <w:trPr/>
        <w:tc>
          <w:tcPr>
            <w:tcW w:w="19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6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2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951" w:type="dxa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Name</w:t>
            </w:r>
          </w:p>
        </w:tc>
        <w:tc>
          <w:tcPr>
            <w:tcW w:w="1276" w:type="dxa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Compensation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Committee</w:t>
            </w:r>
          </w:p>
        </w:tc>
        <w:tc>
          <w:tcPr>
            <w:tcW w:w="109" w:type="dxa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66" w:type="dxa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Corporate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Governance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Committee</w:t>
            </w:r>
          </w:p>
        </w:tc>
        <w:tc>
          <w:tcPr>
            <w:tcW w:w="109" w:type="dxa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6" w:type="dxa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Audit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Committee</w:t>
            </w:r>
          </w:p>
        </w:tc>
        <w:tc>
          <w:tcPr>
            <w:tcW w:w="109" w:type="dxa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6" w:type="dxa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 xml:space="preserve">Technology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 xml:space="preserve">Risk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Committee</w:t>
            </w:r>
          </w:p>
        </w:tc>
        <w:tc>
          <w:tcPr>
            <w:tcW w:w="109" w:type="dxa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21" w:type="dxa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Executive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Committee</w:t>
            </w:r>
          </w:p>
        </w:tc>
      </w:tr>
      <w:tr>
        <w:trPr/>
        <w:tc>
          <w:tcPr>
            <w:tcW w:w="1951" w:type="dxa"/>
            <w:tcBorders>
              <w:top w:val="single" w:sz="4" w:space="0" w:color="18333C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LaVerne Srinivasan</w:t>
            </w:r>
          </w:p>
        </w:tc>
        <w:tc>
          <w:tcPr>
            <w:tcW w:w="1276" w:type="dxa"/>
            <w:tcBorders>
              <w:top w:val="single" w:sz="4" w:space="0" w:color="18333C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top w:val="single" w:sz="4" w:space="0" w:color="18333C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66" w:type="dxa"/>
            <w:tcBorders>
              <w:top w:val="single" w:sz="4" w:space="0" w:color="18333C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top w:val="single" w:sz="4" w:space="0" w:color="18333C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6" w:type="dxa"/>
            <w:tcBorders>
              <w:top w:val="single" w:sz="4" w:space="0" w:color="18333C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top w:val="single" w:sz="4" w:space="0" w:color="18333C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6" w:type="dxa"/>
            <w:tcBorders>
              <w:top w:val="single" w:sz="4" w:space="0" w:color="18333C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top w:val="single" w:sz="4" w:space="0" w:color="18333C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21" w:type="dxa"/>
            <w:tcBorders>
              <w:top w:val="single" w:sz="4" w:space="0" w:color="18333C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</w:rPr>
            </w:pPr>
            <w:r>
              <w:rPr>
                <w:caps w:val="false"/>
                <w:smallCaps w:val="fals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37160" cy="127635"/>
                  <wp:effectExtent l="0" t="0" r="0" b="0"/>
                  <wp:docPr id="211" name="Image21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1" name="Image21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160" cy="1276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211" w:name="i-211"/>
            <w:bookmarkEnd w:id="211"/>
          </w:p>
        </w:tc>
      </w:tr>
      <w:tr>
        <w:trPr/>
        <w:tc>
          <w:tcPr>
            <w:tcW w:w="1951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Michael Dornemann</w:t>
            </w:r>
          </w:p>
        </w:tc>
        <w:tc>
          <w:tcPr>
            <w:tcW w:w="127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5FC0BA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5FC0BA"/>
                <w:u w:val="none"/>
                <w:effect w:val="non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91440" cy="91440"/>
                  <wp:effectExtent l="0" t="0" r="0" b="0"/>
                  <wp:docPr id="212" name="Image21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2" name="Image21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440" cy="914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212" w:name="i-212"/>
            <w:bookmarkEnd w:id="212"/>
          </w:p>
        </w:tc>
        <w:tc>
          <w:tcPr>
            <w:tcW w:w="109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6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21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5FC0BA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5FC0BA"/>
                <w:u w:val="none"/>
                <w:effect w:val="non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91440" cy="91440"/>
                  <wp:effectExtent l="0" t="0" r="0" b="0"/>
                  <wp:docPr id="213" name="Image213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3" name="Image213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440" cy="914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213" w:name="i-213"/>
            <w:bookmarkEnd w:id="213"/>
          </w:p>
        </w:tc>
      </w:tr>
      <w:tr>
        <w:trPr/>
        <w:tc>
          <w:tcPr>
            <w:tcW w:w="1951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William “Bing” Gordon</w:t>
            </w:r>
          </w:p>
        </w:tc>
        <w:tc>
          <w:tcPr>
            <w:tcW w:w="127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6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5FC0BA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5FC0BA"/>
                <w:u w:val="none"/>
                <w:effect w:val="non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91440" cy="91440"/>
                  <wp:effectExtent l="0" t="0" r="0" b="0"/>
                  <wp:docPr id="214" name="Image214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4" name="Image214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440" cy="914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214" w:name="i-214"/>
            <w:bookmarkEnd w:id="214"/>
          </w:p>
        </w:tc>
        <w:tc>
          <w:tcPr>
            <w:tcW w:w="109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21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951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Roland Hernandez</w:t>
            </w:r>
          </w:p>
        </w:tc>
        <w:tc>
          <w:tcPr>
            <w:tcW w:w="127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5FC0BA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5FC0BA"/>
                <w:u w:val="none"/>
                <w:effect w:val="non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91440" cy="91440"/>
                  <wp:effectExtent l="0" t="0" r="0" b="0"/>
                  <wp:docPr id="215" name="Image215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5" name="Image215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440" cy="914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215" w:name="i-215"/>
            <w:bookmarkEnd w:id="215"/>
          </w:p>
        </w:tc>
        <w:tc>
          <w:tcPr>
            <w:tcW w:w="109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6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5FC0BA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5FC0BA"/>
                <w:u w:val="none"/>
                <w:effect w:val="non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37160" cy="127000"/>
                  <wp:effectExtent l="0" t="0" r="0" b="0"/>
                  <wp:docPr id="216" name="Image216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6" name="Image216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160" cy="127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216" w:name="i-216"/>
            <w:bookmarkEnd w:id="216"/>
          </w:p>
        </w:tc>
        <w:tc>
          <w:tcPr>
            <w:tcW w:w="109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21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951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J Moses</w:t>
            </w:r>
          </w:p>
        </w:tc>
        <w:tc>
          <w:tcPr>
            <w:tcW w:w="127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6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5FC0BA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5FC0BA"/>
                <w:u w:val="none"/>
                <w:effect w:val="non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91440" cy="91440"/>
                  <wp:effectExtent l="0" t="0" r="0" b="0"/>
                  <wp:docPr id="217" name="Image217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7" name="Image217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440" cy="914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217" w:name="i-217"/>
            <w:bookmarkEnd w:id="217"/>
          </w:p>
        </w:tc>
        <w:tc>
          <w:tcPr>
            <w:tcW w:w="109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</w:rPr>
            </w:pPr>
            <w:r>
              <w:rPr>
                <w:caps w:val="false"/>
                <w:smallCaps w:val="fals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37160" cy="127000"/>
                  <wp:effectExtent l="0" t="0" r="0" b="0"/>
                  <wp:docPr id="218" name="Image218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8" name="Image218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160" cy="127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218" w:name="i-218"/>
            <w:bookmarkEnd w:id="218"/>
          </w:p>
        </w:tc>
        <w:tc>
          <w:tcPr>
            <w:tcW w:w="109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21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951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Michael Sheresky</w:t>
            </w:r>
          </w:p>
        </w:tc>
        <w:tc>
          <w:tcPr>
            <w:tcW w:w="127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</w:rPr>
            </w:pPr>
            <w:r>
              <w:rPr>
                <w:caps w:val="false"/>
                <w:smallCaps w:val="fals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37160" cy="127000"/>
                  <wp:effectExtent l="0" t="0" r="0" b="0"/>
                  <wp:docPr id="219" name="Image219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9" name="Image219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160" cy="127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219" w:name="i-219"/>
            <w:bookmarkEnd w:id="219"/>
          </w:p>
        </w:tc>
        <w:tc>
          <w:tcPr>
            <w:tcW w:w="109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6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21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951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Ellen Siminoff</w:t>
            </w:r>
          </w:p>
        </w:tc>
        <w:tc>
          <w:tcPr>
            <w:tcW w:w="127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6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5FC0BA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5FC0BA"/>
                <w:u w:val="none"/>
                <w:effect w:val="non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91440" cy="91440"/>
                  <wp:effectExtent l="0" t="0" r="0" b="0"/>
                  <wp:docPr id="220" name="Image220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0" name="Image220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440" cy="914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220" w:name="i-220"/>
            <w:bookmarkEnd w:id="220"/>
          </w:p>
        </w:tc>
        <w:tc>
          <w:tcPr>
            <w:tcW w:w="109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5FC0BA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5FC0BA"/>
                <w:u w:val="none"/>
                <w:effect w:val="non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91440" cy="91440"/>
                  <wp:effectExtent l="0" t="0" r="0" b="0"/>
                  <wp:docPr id="221" name="Image22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1" name="Image22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440" cy="914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221" w:name="i-221"/>
            <w:bookmarkEnd w:id="221"/>
          </w:p>
        </w:tc>
        <w:tc>
          <w:tcPr>
            <w:tcW w:w="109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21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951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Susan Tolson</w:t>
            </w:r>
          </w:p>
        </w:tc>
        <w:tc>
          <w:tcPr>
            <w:tcW w:w="127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6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</w:rPr>
            </w:pPr>
            <w:r>
              <w:rPr>
                <w:caps w:val="false"/>
                <w:smallCaps w:val="fals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37160" cy="127000"/>
                  <wp:effectExtent l="0" t="0" r="0" b="0"/>
                  <wp:docPr id="222" name="Image22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2" name="Image22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160" cy="127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222" w:name="i-222"/>
            <w:bookmarkEnd w:id="222"/>
          </w:p>
        </w:tc>
        <w:tc>
          <w:tcPr>
            <w:tcW w:w="109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5FC0BA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5FC0BA"/>
                <w:u w:val="none"/>
                <w:effect w:val="non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91440" cy="91440"/>
                  <wp:effectExtent l="0" t="0" r="0" b="0"/>
                  <wp:docPr id="223" name="Image223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3" name="Image223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440" cy="914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223" w:name="i-223"/>
            <w:bookmarkEnd w:id="223"/>
          </w:p>
        </w:tc>
        <w:tc>
          <w:tcPr>
            <w:tcW w:w="109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21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951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Paul Viera</w:t>
            </w:r>
          </w:p>
        </w:tc>
        <w:tc>
          <w:tcPr>
            <w:tcW w:w="127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6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5FC0BA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5FC0BA"/>
                <w:u w:val="none"/>
                <w:effect w:val="non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91440" cy="91440"/>
                  <wp:effectExtent l="0" t="0" r="0" b="0"/>
                  <wp:docPr id="224" name="Image224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4" name="Image224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440" cy="914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224" w:name="i-224"/>
            <w:bookmarkEnd w:id="224"/>
          </w:p>
        </w:tc>
        <w:tc>
          <w:tcPr>
            <w:tcW w:w="109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21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951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Strauss Zelnick</w:t>
            </w:r>
          </w:p>
        </w:tc>
        <w:tc>
          <w:tcPr>
            <w:tcW w:w="127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6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21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5FC0BA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5FC0BA"/>
                <w:u w:val="none"/>
                <w:effect w:val="non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91440" cy="91440"/>
                  <wp:effectExtent l="0" t="0" r="0" b="0"/>
                  <wp:docPr id="225" name="Image225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5" name="Image225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440" cy="914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225" w:name="i-225"/>
            <w:bookmarkEnd w:id="225"/>
          </w:p>
        </w:tc>
      </w:tr>
      <w:tr>
        <w:trPr/>
        <w:tc>
          <w:tcPr>
            <w:tcW w:w="1951" w:type="dxa"/>
            <w:tcBorders>
              <w:top w:val="single" w:sz="2" w:space="0" w:color="8C8D8F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sz w:val="17"/>
                <w:u w:val="none"/>
                <w:effect w:val="none"/>
              </w:rPr>
              <w:t>Meetings in Fiscal 2026</w:t>
            </w:r>
          </w:p>
        </w:tc>
        <w:tc>
          <w:tcPr>
            <w:tcW w:w="1276" w:type="dxa"/>
            <w:tcBorders>
              <w:top w:val="single" w:sz="2" w:space="0" w:color="8C8D8F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6</w:t>
            </w:r>
          </w:p>
        </w:tc>
        <w:tc>
          <w:tcPr>
            <w:tcW w:w="109" w:type="dxa"/>
            <w:tcBorders>
              <w:top w:val="single" w:sz="2" w:space="0" w:color="8C8D8F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66" w:type="dxa"/>
            <w:tcBorders>
              <w:top w:val="single" w:sz="2" w:space="0" w:color="8C8D8F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5</w:t>
            </w:r>
          </w:p>
        </w:tc>
        <w:tc>
          <w:tcPr>
            <w:tcW w:w="109" w:type="dxa"/>
            <w:tcBorders>
              <w:top w:val="single" w:sz="2" w:space="0" w:color="8C8D8F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6" w:type="dxa"/>
            <w:tcBorders>
              <w:top w:val="single" w:sz="2" w:space="0" w:color="8C8D8F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4</w:t>
            </w:r>
          </w:p>
        </w:tc>
        <w:tc>
          <w:tcPr>
            <w:tcW w:w="109" w:type="dxa"/>
            <w:tcBorders>
              <w:top w:val="single" w:sz="2" w:space="0" w:color="8C8D8F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6" w:type="dxa"/>
            <w:tcBorders>
              <w:top w:val="single" w:sz="2" w:space="0" w:color="8C8D8F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2</w:t>
            </w:r>
          </w:p>
        </w:tc>
        <w:tc>
          <w:tcPr>
            <w:tcW w:w="109" w:type="dxa"/>
            <w:tcBorders>
              <w:top w:val="single" w:sz="2" w:space="0" w:color="8C8D8F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21" w:type="dxa"/>
            <w:tcBorders>
              <w:top w:val="single" w:sz="2" w:space="0" w:color="8C8D8F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4</w:t>
            </w:r>
          </w:p>
        </w:tc>
      </w:tr>
    </w:tbl>
    <w:p>
      <w:pPr>
        <w:pStyle w:val="TextBody"/>
        <w:bidi w:val="0"/>
        <w:spacing w:before="0" w:after="0"/>
        <w:jc w:val="left"/>
        <w:rPr/>
      </w:pPr>
      <w:r>
        <w:rPr>
          <w:caps w:val="false"/>
          <w:smallCaps w:val="false"/>
          <w:strike w:val="false"/>
          <w:dstrike w:val="false"/>
          <w:u w:val="none"/>
          <w:effect w:val="none"/>
        </w:rPr>
        <w:t> 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Member  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> 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Chair</w:t>
      </w:r>
    </w:p>
    <w:p>
      <w:pPr>
        <w:pStyle w:val="TextBody"/>
        <w:bidi w:val="0"/>
        <w:spacing w:before="0" w:after="0"/>
        <w:jc w:val="left"/>
        <w:rPr/>
      </w:pPr>
      <w:r>
        <w:rPr/>
        <w:drawing>
          <wp:inline distT="0" distB="0" distL="0" distR="0">
            <wp:extent cx="91440" cy="91440"/>
            <wp:effectExtent l="0" t="0" r="0" b="0"/>
            <wp:docPr id="226" name="Image226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6" name="Image226" descr=""/>
                    <pic:cNvPicPr>
                      <a:picLocks noChangeAspect="1" noChangeArrowheads="1"/>
                    </pic:cNvPicPr>
                  </pic:nvPicPr>
                  <pic:blipFill>
                    <a:blip r:embed="rId22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" cy="91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226" w:name="i-226"/>
      <w:bookmarkEnd w:id="226"/>
    </w:p>
    <w:p>
      <w:pPr>
        <w:pStyle w:val="TextBody"/>
        <w:bidi w:val="0"/>
        <w:spacing w:before="0" w:after="0"/>
        <w:jc w:val="left"/>
        <w:rPr/>
      </w:pPr>
      <w:r>
        <w:rPr/>
        <w:drawing>
          <wp:inline distT="0" distB="0" distL="0" distR="0">
            <wp:extent cx="137160" cy="127000"/>
            <wp:effectExtent l="0" t="0" r="0" b="0"/>
            <wp:docPr id="227" name="Image227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7" name="Image227" descr=""/>
                    <pic:cNvPicPr>
                      <a:picLocks noChangeAspect="1" noChangeArrowheads="1"/>
                    </pic:cNvPicPr>
                  </pic:nvPicPr>
                  <pic:blipFill>
                    <a:blip r:embed="rId22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27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227" w:name="i-227"/>
      <w:bookmarkEnd w:id="227"/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/>
          <w:i/>
          <w:strike w:val="false"/>
          <w:dstrike w:val="false"/>
          <w:sz w:val="18"/>
          <w:u w:val="none"/>
          <w:effect w:val="none"/>
        </w:rPr>
        <w:t>Compensation Committee 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members are Messrs. Sheresky (Chair), Dornemann and Hernandez, each of whom is an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independent director under Nasdaq’s Rule 5605, and a “non-employee director” as defined under the SEC rules.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The Compensation Committee, among other roles, reviews the compensation policies and procedures of the Company,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evaluates and approves executive officer compensation, and makes recommendations to the Board of Directors regarding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executive compensation.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/>
          <w:i/>
          <w:strike w:val="false"/>
          <w:dstrike w:val="false"/>
          <w:sz w:val="18"/>
          <w:u w:val="none"/>
          <w:effect w:val="none"/>
        </w:rPr>
        <w:t>Corporate Governance Committee 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members are Messrs. Hernandez (Chair) and Moses and Ms. Siminoff. The Corporate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Governance Committee is responsible, among other things, for creating and maintaining overall corporate governance policies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for the Company, identifying, screening and recruiting director candidates for the Board of Directors and overseeing our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environmental, social and governance initiatives.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/>
          <w:i/>
          <w:strike w:val="false"/>
          <w:dstrike w:val="false"/>
          <w:sz w:val="18"/>
          <w:u w:val="none"/>
          <w:effect w:val="none"/>
        </w:rPr>
        <w:t>Audit Committee 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members are Mses. Tolson (Chair) and Siminoff and Mr. Viera. The Audit Committee oversees the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accounting and financial reporting processes of the Company and audits of the financial statements of the Company. In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addition, the Audit Committee assists the Board of Directors in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its review and oversight of the Company’s key investment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objectives, strategies and policies. The Board of Directors has determined that Ms. Tolson and Mr. Viera each qualify as an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caps w:val="false"/>
          <w:smallCaps w:val="false"/>
          <w:strike w:val="false"/>
          <w:dstrike w:val="false"/>
          <w:u w:val="none"/>
          <w:effect w:val="none"/>
        </w:rPr>
      </w:pPr>
      <w:r>
        <w:rPr>
          <w:caps w:val="false"/>
          <w:smallCaps w:val="false"/>
          <w:strike w:val="false"/>
          <w:dstrike w:val="false"/>
          <w:u w:val="none"/>
          <w:effect w:val="none"/>
        </w:rPr>
        <w:t>“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audit committee financial expert” under federal securities laws.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/>
          <w:i/>
          <w:strike w:val="false"/>
          <w:dstrike w:val="false"/>
          <w:sz w:val="18"/>
          <w:u w:val="none"/>
          <w:effect w:val="none"/>
        </w:rPr>
        <w:t>Technology Risk Committee 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members are Messrs. Moses (Chair) and Gordon and Ms. Tolson. The Technology Risk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Committee is a new committee that was formed in October 2025, given the importance of technology to our business as an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interactive entertainment company. The Committee assists the Board of Directors in its review and oversight of the Company’s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technology specific risk management, including risks related to cybersecurity, artificial intelligence, data security, disaster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recovery, game and publishing technology, and other emerging technology risks. Our Audit Committee Chair was strategically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appointed to the Technology Risk Committee to ensure effective communication between committees and a thoughtful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oversight transition process.</w:t>
      </w:r>
    </w:p>
    <w:tbl>
      <w:tblPr>
        <w:tblW w:w="493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301"/>
        <w:gridCol w:w="4636"/>
      </w:tblGrid>
      <w:tr>
        <w:trPr/>
        <w:tc>
          <w:tcPr>
            <w:tcW w:w="30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0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18</w:t>
            </w:r>
          </w:p>
        </w:tc>
        <w:tc>
          <w:tcPr>
            <w:tcW w:w="4636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sz w:val="24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TAKE-TWO INTERACTIVE SOFTWARE, INC.   |   2026</w:t>
            </w:r>
            <w:r>
              <w:rPr>
                <w:caps w:val="false"/>
                <w:smallCaps w:val="false"/>
                <w:strike w:val="false"/>
                <w:dstrike w:val="false"/>
                <w:color w:val="18333C"/>
                <w:sz w:val="24"/>
                <w:u w:val="none"/>
                <w:effect w:val="none"/>
              </w:rPr>
              <w:t xml:space="preserve"> 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Proxy Statement</w:t>
            </w:r>
          </w:p>
        </w:tc>
      </w:tr>
    </w:tbl>
    <w:p>
      <w:pPr>
        <w:pStyle w:val="TextBody"/>
        <w:bidi w:val="0"/>
        <w:spacing w:lineRule="atLeast" w:line="142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3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3"/>
          <w:u w:val="none"/>
          <w:effect w:val="none"/>
        </w:rPr>
        <w:t>CORPORATE GOVERNANCE AND BOARD PRACTICES</w:t>
      </w:r>
    </w:p>
    <w:p>
      <w:pPr>
        <w:pStyle w:val="TextBody"/>
        <w:bidi w:val="0"/>
        <w:spacing w:lineRule="atLeast" w:line="142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2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2"/>
          <w:u w:val="none"/>
          <w:effect w:val="none"/>
        </w:rPr>
        <w:t>DIRECTOR SELECTION AND REFRESHMENT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8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28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28"/>
          <w:u w:val="none"/>
          <w:effect w:val="none"/>
        </w:rPr>
        <w:t>Director Selection and Refreshment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The Corporate Governance Committee will consider nominees recommended by shareholders, provided that the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recommendation contains sufficient information for the committee to assess the suitability of the candidate and such nomination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complies with the Company’s bylaws. Candidates recommended by shareholders that comply with these procedures will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receive the same consideration that candidates recommended by the committee receive.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When selecting directors, the Board of Directors reviews and considers many factors, including experience, business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understanding, achievement, available time, skills and independence. It also will consider ethical standards, integrity and any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conflict of interest. It considers recommendations primarily from shareholders of the Company and from members of the Board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of Directors and management. The Corporate Governance Committee conducts interviews with candidates who meet the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criteria of the Board of Directors and has full discretion in considering its nominations to the Board of Directors. The Board of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Directors adopted Corporate Governance Guidelines, which include criteria to assess the suitability of candidates for the Board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of Directors. These Corporate Governance Guidelines are posted under the “Conduct” tab on the Company’s website at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caps w:val="false"/>
          <w:smallCaps w:val="false"/>
          <w:strike w:val="false"/>
          <w:dstrike w:val="false"/>
          <w:u w:val="none"/>
          <w:effect w:val="none"/>
        </w:rPr>
        <w:t>“</w:t>
      </w:r>
      <w:r>
        <w:rPr>
          <w:rFonts w:ascii="Arial;sans-serif" w:hAnsi="Arial;sans-serif"/>
          <w:b w:val="false"/>
          <w:i/>
          <w:strike w:val="false"/>
          <w:dstrike w:val="false"/>
          <w:sz w:val="18"/>
          <w:u w:val="none"/>
          <w:effect w:val="none"/>
        </w:rPr>
        <w:t>www.take2games.com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>”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.</w:t>
      </w:r>
    </w:p>
    <w:p>
      <w:pPr>
        <w:pStyle w:val="TextBody"/>
        <w:bidi w:val="0"/>
        <w:spacing w:lineRule="atLeast" w:line="24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24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24"/>
          <w:u w:val="none"/>
          <w:effect w:val="none"/>
        </w:rPr>
        <w:t>Independent Directors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The Board of Directors has determined that Messrs. Dornemann, Gordon, Hernandez, Moses, Sheresky and Viera and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Mses. Siminoff, Srinivasan and Tolson are “independent” directors, and that Mr. Zelnick is not an “independent” director, in each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case as defined under the rules of The Nasdaq Stock Market. With respect to Mr. Gordon, at the time he joined the Board of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Directors in May of 2022, the Board of Directors determined he was not an “independent” director under the rules of The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Nasdaq Stock Market as a result of a pre-existing consulting services agreement between Zynga Inc. and Mr. Gordon. Because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this consulting services agreement was terminated effective as of June 15, 2022, which is more than three years ago, the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Board of Directors has now determined that Mr. Gordon currently qualifies as an “independent” director under the rules of The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Nasdaq Stock Market effective as of June 15, 2025. During fiscal 2026, the independent directors met in executive session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(outside the presence of management) on eleven occasions.</w:t>
      </w:r>
    </w:p>
    <w:p>
      <w:pPr>
        <w:pStyle w:val="TextBody"/>
        <w:bidi w:val="0"/>
        <w:spacing w:lineRule="atLeast" w:line="24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24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24"/>
          <w:u w:val="none"/>
          <w:effect w:val="none"/>
        </w:rPr>
        <w:t>Board Composition and Refreshment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The Board of Directors routinely reviews the composition of the Board and believes that it benefits from having a group of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directors with a wide range of viewpoints, including based on experience, backgrounds and other factors. The Board has taken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a deliberate approach to refreshment, with new directors joining in four of the prior nine years and five of our 10 director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nominees having served for nine years or less. The Board values maintaining directors with a range of tenures to balance new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perspectives with the benefit of directors who have served through the evolution of the interactive entertainment industry.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On an annual basis, the Corporate Governance Committee conducts a succession planning and refreshment review that covers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the Board of Directors, the Company’s executive officers and, in conjunction with the Company’s Chief Human Resources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Officer, a review of succession planning throughout the organization. Further information relating to our management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succession planning process is set forth below under “Management Development and Succession Planning.” As a result of its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regular succession planning and refreshment reviews, the Board of Directors has made the following changes to the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composition of the committees of the Board of Directors since the fiscal year ended March 31, 2024 (“</w:t>
      </w:r>
      <w:r>
        <w:rPr>
          <w:rFonts w:ascii="Arial;sans-serif" w:hAnsi="Arial;sans-serif"/>
          <w:b w:val="false"/>
          <w:i/>
          <w:strike w:val="false"/>
          <w:dstrike w:val="false"/>
          <w:sz w:val="18"/>
          <w:u w:val="none"/>
          <w:effect w:val="none"/>
        </w:rPr>
        <w:t>fiscal 2024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>”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):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tbl>
      <w:tblPr>
        <w:tblW w:w="4982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4651"/>
        <w:gridCol w:w="331"/>
      </w:tblGrid>
      <w:tr>
        <w:trPr/>
        <w:tc>
          <w:tcPr>
            <w:tcW w:w="46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651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sz w:val="24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TAKE-TWO INTERACTIVE SOFTWARE, INC.   |   2026</w:t>
            </w:r>
            <w:r>
              <w:rPr>
                <w:caps w:val="false"/>
                <w:smallCaps w:val="false"/>
                <w:strike w:val="false"/>
                <w:dstrike w:val="false"/>
                <w:color w:val="18333C"/>
                <w:sz w:val="24"/>
                <w:u w:val="none"/>
                <w:effect w:val="none"/>
              </w:rPr>
              <w:t xml:space="preserve"> 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 xml:space="preserve">Proxy Statement </w:t>
            </w:r>
          </w:p>
        </w:tc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19</w:t>
            </w:r>
          </w:p>
        </w:tc>
      </w:tr>
    </w:tbl>
    <w:p>
      <w:pPr>
        <w:pStyle w:val="TextBody"/>
        <w:bidi w:val="0"/>
        <w:spacing w:lineRule="atLeast" w:line="142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3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3"/>
          <w:u w:val="none"/>
          <w:effect w:val="none"/>
        </w:rPr>
        <w:t>CORPORATE GOVERNANCE AND BOARD PRACTICES</w:t>
      </w:r>
    </w:p>
    <w:p>
      <w:pPr>
        <w:pStyle w:val="TextBody"/>
        <w:bidi w:val="0"/>
        <w:spacing w:lineRule="atLeast" w:line="142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2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2"/>
          <w:u w:val="none"/>
          <w:effect w:val="none"/>
        </w:rPr>
        <w:t>ATTENDANCE AT SHAREHOLDER MEETINGS</w:t>
      </w:r>
    </w:p>
    <w:p>
      <w:pPr>
        <w:pStyle w:val="TextBody"/>
        <w:bidi w:val="0"/>
        <w:spacing w:before="0" w:after="0"/>
        <w:jc w:val="left"/>
        <w:rPr>
          <w:shd w:fill="auto" w:val="clear"/>
        </w:rPr>
      </w:pPr>
      <w:r>
        <w:rPr>
          <w:shd w:fill="auto" w:val="clear"/>
        </w:rPr>
        <w:drawing>
          <wp:inline distT="0" distB="0" distL="0" distR="0">
            <wp:extent cx="6583680" cy="4077335"/>
            <wp:effectExtent l="0" t="0" r="0" b="0"/>
            <wp:docPr id="228" name="Image228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8" name="Image228" descr=""/>
                    <pic:cNvPicPr>
                      <a:picLocks noChangeAspect="1" noChangeArrowheads="1"/>
                    </pic:cNvPicPr>
                  </pic:nvPicPr>
                  <pic:blipFill>
                    <a:blip r:embed="rId22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83680" cy="40773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228" w:name="i-228"/>
      <w:bookmarkEnd w:id="228"/>
    </w:p>
    <w:tbl>
      <w:tblPr>
        <w:tblW w:w="8881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4"/>
        <w:gridCol w:w="2611"/>
        <w:gridCol w:w="109"/>
        <w:gridCol w:w="302"/>
        <w:gridCol w:w="109"/>
        <w:gridCol w:w="2371"/>
        <w:gridCol w:w="109"/>
        <w:gridCol w:w="302"/>
        <w:gridCol w:w="109"/>
        <w:gridCol w:w="2581"/>
        <w:gridCol w:w="154"/>
      </w:tblGrid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61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3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8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61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3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8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61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Fiscal 2024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37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Fiscal 2025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81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20"/>
                <w:u w:val="none"/>
                <w:effect w:val="none"/>
              </w:rPr>
              <w:t>Fiscal 2026</w:t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61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3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8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61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3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8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61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18333C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 xml:space="preserve">In September 2023,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 xml:space="preserve">Ms. Srinivasan succeeded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 xml:space="preserve">Mr. Dornemann as our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 xml:space="preserve">Lead Independent Director,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 xml:space="preserve">was appointed to serve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 xml:space="preserve">as the Chair of the Executive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 xml:space="preserve">Committee, and rotated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 xml:space="preserve">off the Corporate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 xml:space="preserve">Governance Committee.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18333C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 xml:space="preserve">Also at that time, Ms. Siminoff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 xml:space="preserve">joined the Corporate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 xml:space="preserve">Governance Committee. 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37160" cy="159385"/>
                  <wp:effectExtent l="0" t="0" r="0" b="0"/>
                  <wp:docPr id="229" name="Image229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9" name="Image229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160" cy="1593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229" w:name="i-229"/>
            <w:bookmarkEnd w:id="229"/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37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18333C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 xml:space="preserve">Effective October 1, 2024,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 xml:space="preserve">Mr. Dornemann rotated off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 xml:space="preserve">the Corporate Governance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 xml:space="preserve">and Audit Committees.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18333C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 xml:space="preserve">Also at that time,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 xml:space="preserve">Mr. Sheresky rotated off the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 xml:space="preserve">Executive Committee. 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37160" cy="159385"/>
                  <wp:effectExtent l="0" t="0" r="0" b="0"/>
                  <wp:docPr id="230" name="Image230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0" name="Image230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160" cy="1593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230" w:name="i-230"/>
            <w:bookmarkEnd w:id="230"/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8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18333C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 xml:space="preserve">Effective September 18,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 xml:space="preserve">2025, Mr. Moses rotated off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 xml:space="preserve">the Compensation Committee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 xml:space="preserve">and stepped down as Chair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 xml:space="preserve">of the Corporate Governance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 xml:space="preserve">Committee, while continuing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 xml:space="preserve">to serve as a member of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that committee.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18333C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 xml:space="preserve">Also at that time,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 xml:space="preserve">Mr. Hernandez joined the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 xml:space="preserve">Corporate Governance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 xml:space="preserve">Committee and succeeded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 xml:space="preserve">Mr. Moses as Chair of the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 xml:space="preserve">committee and Mr. Sheresky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 xml:space="preserve">rotated off the Corporate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Governance Committee.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18333C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 xml:space="preserve">In October 2025, the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 xml:space="preserve">Board formed the Technology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 xml:space="preserve">Risk Committee, which is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 xml:space="preserve">comprised of Mr. Moses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 xml:space="preserve">as Chair, Ms. Tolson and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Mr. Gordon.</w:t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61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3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8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lineRule="atLeast" w:line="24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24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24"/>
          <w:u w:val="none"/>
          <w:effect w:val="none"/>
        </w:rPr>
        <w:t>Board Assessment Process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The Board of Directors and its committees conduct annual self-evaluations that include both the completion of a questionnaire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as well as biennial individual interviews of each director by an outside third party. These evaluations are utilized by the Board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and each committee to improve communication, strategy, and effectiveness, and to identify possible improvements that can be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made to the performance and composition of the Board and each of its committees. The Corporate Governance Committee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assists the Board of Directors in its review and reports to the full Board regarding its findings and recommendations, which are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considered and implemented as appropriate. Furthermore, the Compensation Committee performs an annual performance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review of the Chairman/CEO and other named executive officers and reports its findings to the full Board of Directors.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8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28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28"/>
          <w:u w:val="none"/>
          <w:effect w:val="none"/>
        </w:rPr>
        <w:t>Attendance at Shareholder Meetings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The Board of Directors has adopted a policy whereby director nominees are encouraged to attend the Company’s annual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meeting of shareholders. All of our then incumbent director nominees attended the last annual meeting of the Company’s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shareholders in September 2025.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8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28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28"/>
          <w:u w:val="none"/>
          <w:effect w:val="none"/>
        </w:rPr>
        <w:t>Meetings of Directors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The Board of Directors held eleven meetings during fiscal 2026. Each of the incumbent directors attended at least 75% in the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aggregate of all meetings of the Board of Directors and committees on which the individual served for the period of his or her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service in the fiscal year. Periodically, the Board of Directors convenes at an off-site strategic planning session, which includes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presentations and discussions with senior management, to review the Company’s strategic, competitive and financial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performance goals as well as to discuss the Company’s long-term strategic plan. The most recent off-site strategic planning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session took place in October 2025.</w:t>
      </w:r>
    </w:p>
    <w:tbl>
      <w:tblPr>
        <w:tblW w:w="493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301"/>
        <w:gridCol w:w="4636"/>
      </w:tblGrid>
      <w:tr>
        <w:trPr/>
        <w:tc>
          <w:tcPr>
            <w:tcW w:w="30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0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20</w:t>
            </w:r>
          </w:p>
        </w:tc>
        <w:tc>
          <w:tcPr>
            <w:tcW w:w="4636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sz w:val="24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TAKE-TWO INTERACTIVE SOFTWARE, INC.   |   2026</w:t>
            </w:r>
            <w:r>
              <w:rPr>
                <w:caps w:val="false"/>
                <w:smallCaps w:val="false"/>
                <w:strike w:val="false"/>
                <w:dstrike w:val="false"/>
                <w:color w:val="18333C"/>
                <w:sz w:val="24"/>
                <w:u w:val="none"/>
                <w:effect w:val="none"/>
              </w:rPr>
              <w:t xml:space="preserve"> 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Proxy Statement</w:t>
            </w:r>
          </w:p>
        </w:tc>
      </w:tr>
    </w:tbl>
    <w:p>
      <w:pPr>
        <w:pStyle w:val="TextBody"/>
        <w:bidi w:val="0"/>
        <w:spacing w:lineRule="atLeast" w:line="142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3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3"/>
          <w:u w:val="none"/>
          <w:effect w:val="none"/>
        </w:rPr>
        <w:t>CORPORATE GOVERNANCE AND BOARD PRACTICES</w:t>
      </w:r>
    </w:p>
    <w:p>
      <w:pPr>
        <w:pStyle w:val="TextBody"/>
        <w:bidi w:val="0"/>
        <w:spacing w:lineRule="atLeast" w:line="142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2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2"/>
          <w:u w:val="none"/>
          <w:effect w:val="none"/>
        </w:rPr>
        <w:t>BOARD OVERSIGHT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8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28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28"/>
          <w:u w:val="none"/>
          <w:effect w:val="none"/>
        </w:rPr>
        <w:t>Board Oversight</w:t>
      </w:r>
    </w:p>
    <w:p>
      <w:pPr>
        <w:pStyle w:val="TextBody"/>
        <w:bidi w:val="0"/>
        <w:spacing w:lineRule="atLeast" w:line="24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24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24"/>
          <w:u w:val="none"/>
          <w:effect w:val="none"/>
        </w:rPr>
        <w:t>Board’s Role in Oversight of Strategy and Risk Management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The Board of Directors exercises direct oversight of strategic risks to the Company. The Audit Committee reviews the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Company’s policies for risk assessment and risk management, including overseeing risks specifically relating to financial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reporting and internal controls. The Technology Risk Committee reviews and oversees the Company’s technology specific risk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management, including risks related to cybersecurity, artificial intelligence, data security, disaster recovery, game and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publishing technology, and other emerging technology risks. The Compensation Committee oversees risks relating to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compensation programs and policies. See “Risk Assessment of Overall Compensation Program.” The Corporate Governance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Committee oversees sustainability matters and operational risk relating to insurance. In each case, management periodically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reports to our Board of Directors or to the relevant committee, which provides guidance on risk appetite, assessment, and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mitigation. Each committee charged with risk oversight reports to our Board of Directors on those matters.</w:t>
      </w:r>
    </w:p>
    <w:p>
      <w:pPr>
        <w:pStyle w:val="TextBody"/>
        <w:bidi w:val="0"/>
        <w:spacing w:before="0" w:after="0"/>
        <w:jc w:val="left"/>
        <w:rPr/>
      </w:pPr>
      <w:r>
        <w:rPr/>
        <w:drawing>
          <wp:inline distT="0" distB="0" distL="0" distR="0">
            <wp:extent cx="6035040" cy="2423160"/>
            <wp:effectExtent l="0" t="0" r="0" b="0"/>
            <wp:docPr id="231" name="Image23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1" name="Image231" descr=""/>
                    <pic:cNvPicPr>
                      <a:picLocks noChangeAspect="1" noChangeArrowheads="1"/>
                    </pic:cNvPicPr>
                  </pic:nvPicPr>
                  <pic:blipFill>
                    <a:blip r:embed="rId23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5040" cy="2423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231" w:name="i-231"/>
      <w:bookmarkEnd w:id="231"/>
    </w:p>
    <w:tbl>
      <w:tblPr>
        <w:tblW w:w="8431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191"/>
        <w:gridCol w:w="109"/>
        <w:gridCol w:w="2116"/>
        <w:gridCol w:w="109"/>
        <w:gridCol w:w="1876"/>
        <w:gridCol w:w="109"/>
        <w:gridCol w:w="1921"/>
      </w:tblGrid>
      <w:tr>
        <w:trPr/>
        <w:tc>
          <w:tcPr>
            <w:tcW w:w="21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11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8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92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8431" w:type="dxa"/>
            <w:gridSpan w:val="7"/>
            <w:tcBorders/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7"/>
                <w:u w:val="none"/>
                <w:effect w:val="none"/>
              </w:rPr>
              <w:t>COMMITTEE RISK OVERSIGHT</w:t>
            </w:r>
          </w:p>
        </w:tc>
      </w:tr>
      <w:tr>
        <w:trPr/>
        <w:tc>
          <w:tcPr>
            <w:tcW w:w="21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11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8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92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11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8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92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9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64BFA6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64BFA6"/>
                <w:sz w:val="16"/>
                <w:u w:val="none"/>
                <w:effect w:val="none"/>
              </w:rPr>
              <w:t>AUDIT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11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81C31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81C31"/>
                <w:sz w:val="16"/>
                <w:u w:val="none"/>
                <w:effect w:val="none"/>
              </w:rPr>
              <w:t>COMPENSATION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87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B0295B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B0295B"/>
                <w:sz w:val="16"/>
                <w:u w:val="none"/>
                <w:effect w:val="none"/>
              </w:rPr>
              <w:t>CORPORATE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B0295B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B0295B"/>
                <w:sz w:val="16"/>
                <w:u w:val="none"/>
                <w:effect w:val="none"/>
              </w:rPr>
              <w:t>GOVERNANCE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92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80808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808080"/>
                <w:sz w:val="16"/>
                <w:u w:val="none"/>
                <w:effect w:val="none"/>
              </w:rPr>
              <w:t>TECHNOLOGY</w:t>
            </w:r>
          </w:p>
        </w:tc>
      </w:tr>
      <w:tr>
        <w:trPr/>
        <w:tc>
          <w:tcPr>
            <w:tcW w:w="21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11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8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92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91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3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3"/>
              </w:rPr>
              <w:t xml:space="preserve">Reviews the Company’s policies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3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3"/>
              </w:rPr>
              <w:t xml:space="preserve">for risk assessment and risk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3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3"/>
              </w:rPr>
              <w:t xml:space="preserve">management relating to financial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3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3"/>
              </w:rPr>
              <w:t xml:space="preserve">reporting and internal controls,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3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3"/>
              </w:rPr>
              <w:t xml:space="preserve">and assesses steps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3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3"/>
              </w:rPr>
              <w:t xml:space="preserve">management has taken to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3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3"/>
              </w:rPr>
              <w:t>control such risks and exposures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116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3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3"/>
              </w:rPr>
              <w:t xml:space="preserve">Oversees risks relating to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3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3"/>
              </w:rPr>
              <w:t xml:space="preserve">compensation programs and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3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3"/>
              </w:rPr>
              <w:t xml:space="preserve">policies. See “Risk Assessment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3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3"/>
              </w:rPr>
              <w:t xml:space="preserve">of Overall Compensation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3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3"/>
              </w:rPr>
              <w:t>Program”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876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3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3"/>
              </w:rPr>
              <w:t xml:space="preserve">Oversees sustainability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3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3"/>
              </w:rPr>
              <w:t xml:space="preserve">matters and operational risk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3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3"/>
              </w:rPr>
              <w:t>relating to insurance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921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3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3"/>
              </w:rPr>
              <w:t xml:space="preserve">Oversees technology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3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3"/>
              </w:rPr>
              <w:t xml:space="preserve">specific risk, including risks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3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3"/>
              </w:rPr>
              <w:t xml:space="preserve">related to cybersecurity,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3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3"/>
              </w:rPr>
              <w:t xml:space="preserve">artificial intelligence, data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3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3"/>
              </w:rPr>
              <w:t xml:space="preserve">security, disaster recovery,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3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3"/>
              </w:rPr>
              <w:t xml:space="preserve">game and publishing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3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3"/>
              </w:rPr>
              <w:t xml:space="preserve">technology, and other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3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3"/>
              </w:rPr>
              <w:t xml:space="preserve">emerging technology risks </w:t>
            </w:r>
          </w:p>
        </w:tc>
      </w:tr>
    </w:tbl>
    <w:p>
      <w:pPr>
        <w:pStyle w:val="TextBody"/>
        <w:bidi w:val="0"/>
        <w:spacing w:lineRule="atLeast" w:line="24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24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24"/>
          <w:u w:val="none"/>
          <w:effect w:val="none"/>
        </w:rPr>
        <w:t xml:space="preserve">Management Development and Succession Planning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The Board of Directors recognizes the importance of retaining and developing highly qualified leadership talent. To gain insight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into our pool of talent and what attracts, motivates, and retains key employees, the Board of Directors engages with members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of our management team and high-potential individuals across the business during annual 360-degree interviews, management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presentations, off-site strategic planning sessions, and periodic informal meetings and communications. By regularly interacting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with our current and future leaders, the Board of Directors facilitates a deeper understanding of our Company’s culture and best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positions itself to oversee and help maintain a long-term program for the effective development and succession planning of our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senior management team.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To oversee and continue to develop this long-term practice, the Board of Directors discusses management succession planning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at least once a year, and the Corporate Governance Committee works with management to maintain a succession plan for key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members of the team. Additionally, the Corporate Governance Committee monitors and reports to the Board of Directors on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certain related issues, including preparedness for an emergency situation affecting senior management, as well as the long-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term growth and development of the senior management team.</w:t>
      </w:r>
    </w:p>
    <w:tbl>
      <w:tblPr>
        <w:tblW w:w="4982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4651"/>
        <w:gridCol w:w="331"/>
      </w:tblGrid>
      <w:tr>
        <w:trPr/>
        <w:tc>
          <w:tcPr>
            <w:tcW w:w="46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651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sz w:val="24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TAKE-TWO INTERACTIVE SOFTWARE, INC.   |   2026</w:t>
            </w:r>
            <w:r>
              <w:rPr>
                <w:caps w:val="false"/>
                <w:smallCaps w:val="false"/>
                <w:strike w:val="false"/>
                <w:dstrike w:val="false"/>
                <w:color w:val="18333C"/>
                <w:sz w:val="24"/>
                <w:u w:val="none"/>
                <w:effect w:val="none"/>
              </w:rPr>
              <w:t xml:space="preserve"> 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 xml:space="preserve">Proxy Statement </w:t>
            </w:r>
          </w:p>
        </w:tc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21</w:t>
            </w:r>
          </w:p>
        </w:tc>
      </w:tr>
    </w:tbl>
    <w:p>
      <w:pPr>
        <w:pStyle w:val="TextBody"/>
        <w:bidi w:val="0"/>
        <w:spacing w:lineRule="atLeast" w:line="142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3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3"/>
          <w:u w:val="none"/>
          <w:effect w:val="none"/>
        </w:rPr>
        <w:t>CORPORATE GOVERNANCE AND BOARD PRACTICES</w:t>
      </w:r>
    </w:p>
    <w:p>
      <w:pPr>
        <w:pStyle w:val="TextBody"/>
        <w:bidi w:val="0"/>
        <w:spacing w:lineRule="atLeast" w:line="142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2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2"/>
          <w:u w:val="none"/>
          <w:effect w:val="none"/>
        </w:rPr>
        <w:t>SUSTAINABILITY MATTERS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8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28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28"/>
          <w:u w:val="none"/>
          <w:effect w:val="none"/>
        </w:rPr>
        <w:t>Sustainability Matters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The Company believes that focusing on corporate governance and corporate responsibility creates value for the Company, our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employees, our shareholders, our consumers and other stakeholders while also helping mitigate risks, reduce costs, protect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brand value, and identify market opportunities. The Board of Directors provides oversight for this area through the Corporate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Governance Committee, which oversees and reviews our sustainability strategy and guides long-term climate strategy. The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Company oversees sustainability matters using the following structure:</w:t>
      </w:r>
    </w:p>
    <w:tbl>
      <w:tblPr>
        <w:tblW w:w="5079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4"/>
        <w:gridCol w:w="2036"/>
        <w:gridCol w:w="817"/>
        <w:gridCol w:w="818"/>
        <w:gridCol w:w="1130"/>
        <w:gridCol w:w="154"/>
      </w:tblGrid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3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36" w:type="dxa"/>
            <w:tcBorders/>
            <w:shd w:fill="081C31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7" w:type="dxa"/>
            <w:tcBorders/>
            <w:shd w:fill="081C31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8" w:type="dxa"/>
            <w:tcBorders/>
            <w:shd w:fill="081C31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30" w:type="dxa"/>
            <w:tcBorders/>
            <w:shd w:fill="081C31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801" w:type="dxa"/>
            <w:gridSpan w:val="4"/>
            <w:tcBorders/>
            <w:shd w:fill="081C31" w:val="clear"/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7"/>
                <w:u w:val="none"/>
                <w:effect w:val="none"/>
              </w:rPr>
              <w:t>CORPORATE GOVERNANCE COMMITTEE</w:t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36" w:type="dxa"/>
            <w:tcBorders/>
            <w:shd w:fill="081C31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7" w:type="dxa"/>
            <w:tcBorders/>
            <w:shd w:fill="081C31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8" w:type="dxa"/>
            <w:tcBorders/>
            <w:shd w:fill="081C31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30" w:type="dxa"/>
            <w:tcBorders/>
            <w:shd w:fill="081C31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7" w:type="dxa"/>
            <w:tcBorders>
              <w:right w:val="dashed" w:sz="8" w:space="0" w:color="081C31"/>
            </w:tcBorders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8" w:type="dxa"/>
            <w:tcBorders>
              <w:left w:val="dashed" w:sz="8" w:space="0" w:color="081C31"/>
            </w:tcBorders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3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36" w:type="dxa"/>
            <w:tcBorders/>
            <w:shd w:fill="64BFA6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7" w:type="dxa"/>
            <w:tcBorders/>
            <w:shd w:fill="64BFA6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8" w:type="dxa"/>
            <w:tcBorders/>
            <w:shd w:fill="64BFA6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30" w:type="dxa"/>
            <w:tcBorders/>
            <w:shd w:fill="64BFA6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801" w:type="dxa"/>
            <w:gridSpan w:val="4"/>
            <w:tcBorders/>
            <w:shd w:fill="64BFA6" w:val="clear"/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7"/>
                <w:u w:val="none"/>
                <w:effect w:val="none"/>
              </w:rPr>
              <w:t>MANAGEMENT COMMITTEE</w:t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36" w:type="dxa"/>
            <w:tcBorders/>
            <w:shd w:fill="64BFA6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7" w:type="dxa"/>
            <w:tcBorders/>
            <w:shd w:fill="64BFA6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8" w:type="dxa"/>
            <w:tcBorders/>
            <w:shd w:fill="64BFA6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30" w:type="dxa"/>
            <w:tcBorders/>
            <w:shd w:fill="64BFA6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3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3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64BFA6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64BFA6"/>
                <w:sz w:val="16"/>
                <w:u w:val="none"/>
                <w:effect w:val="none"/>
              </w:rPr>
              <w:t>Human Resources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64BFA6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64BFA6"/>
                <w:sz w:val="16"/>
                <w:u w:val="none"/>
                <w:effect w:val="none"/>
              </w:rPr>
              <w:t>Legal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64BFA6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64BFA6"/>
                <w:sz w:val="16"/>
                <w:u w:val="none"/>
                <w:effect w:val="none"/>
              </w:rPr>
              <w:t>Cybersecurity</w:t>
            </w:r>
          </w:p>
        </w:tc>
        <w:tc>
          <w:tcPr>
            <w:tcW w:w="1635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64BFA6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64BFA6"/>
                <w:sz w:val="16"/>
                <w:u w:val="none"/>
                <w:effect w:val="none"/>
              </w:rPr>
              <w:t>Investor Relations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64BFA6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64BFA6"/>
                <w:sz w:val="16"/>
                <w:u w:val="none"/>
                <w:effect w:val="none"/>
              </w:rPr>
              <w:t>Workplace</w:t>
            </w:r>
          </w:p>
        </w:tc>
        <w:tc>
          <w:tcPr>
            <w:tcW w:w="1130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64BFA6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64BFA6"/>
                <w:sz w:val="16"/>
                <w:u w:val="none"/>
                <w:effect w:val="none"/>
              </w:rPr>
              <w:t>Financial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64BFA6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64BFA6"/>
                <w:sz w:val="16"/>
                <w:u w:val="none"/>
                <w:effect w:val="none"/>
              </w:rPr>
              <w:t>Creative</w:t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The Company seeks to ensure that corporate responsibility and sustainability considerations are incorporated into our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corporate strategy, disclosure, and long-term goals to maintain and advance sustainable shareholder value. We intend to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publish our fifth Impact Report incorporating the Sustainability Accounting Standards Board standards in September 2026. The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report will highlight the Company’s efforts across key environmental, social, and governance topics and will be available on our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website. We also publish a standalone report on the Task Force on Climate-Related Financial Disclosure recommendations,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which is also posted on the Company’s website. These reports and our website are not incorporated herein by reference. Areas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on which this committee continues to focus include board composition and refreshment, cybersecurity, human capital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management, sustainability and community engagement.</w:t>
      </w:r>
    </w:p>
    <w:p>
      <w:pPr>
        <w:pStyle w:val="TextBody"/>
        <w:bidi w:val="0"/>
        <w:spacing w:lineRule="atLeast" w:line="24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24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24"/>
          <w:u w:val="none"/>
          <w:effect w:val="none"/>
        </w:rPr>
        <w:t>Cybersecurity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We continue to invest financial and operational resources to implement certain systems, processes and technologies to guard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against cyber risks and to help protect our data and systems. Our Technology Risk Committee receives reports on at least a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quarterly basis regarding key cybersecurity risks and related matters, including secure processing, storage, and transmission of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personal and confidential information, such as the personally identifiable information of our users. For additional information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with respect to the Company's cybersecurity risk management, strategy and governance, see Item 1C under the heading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caps w:val="false"/>
          <w:smallCaps w:val="false"/>
          <w:strike w:val="false"/>
          <w:dstrike w:val="false"/>
          <w:u w:val="none"/>
          <w:effect w:val="none"/>
        </w:rPr>
        <w:t>“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Cybersecurity” of Part I of the Company's Annual Report on Form 10-K for fiscal 2026.</w:t>
      </w:r>
    </w:p>
    <w:p>
      <w:pPr>
        <w:pStyle w:val="TextBody"/>
        <w:bidi w:val="0"/>
        <w:spacing w:lineRule="atLeast" w:line="24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24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24"/>
          <w:u w:val="none"/>
          <w:effect w:val="none"/>
        </w:rPr>
        <w:t>Human Capital Management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One of Take-Two’s most important assets is our people. We are constantly focused on our teams – their success, their structure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and how best to support them given their particular needs and projects.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20"/>
          <w:u w:val="none"/>
          <w:effect w:val="none"/>
        </w:rPr>
        <w:t>Employee Statistics*</w:t>
      </w:r>
    </w:p>
    <w:p>
      <w:pPr>
        <w:pStyle w:val="TextBody"/>
        <w:bidi w:val="0"/>
        <w:spacing w:before="0" w:after="0"/>
        <w:jc w:val="left"/>
        <w:rPr>
          <w:shd w:fill="auto" w:val="clear"/>
        </w:rPr>
      </w:pPr>
      <w:r>
        <w:rPr>
          <w:shd w:fill="auto" w:val="clear"/>
        </w:rPr>
        <w:drawing>
          <wp:inline distT="0" distB="0" distL="0" distR="0">
            <wp:extent cx="6602730" cy="1021715"/>
            <wp:effectExtent l="0" t="0" r="0" b="0"/>
            <wp:docPr id="232" name="Image23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2" name="Image232" descr=""/>
                    <pic:cNvPicPr>
                      <a:picLocks noChangeAspect="1" noChangeArrowheads="1"/>
                    </pic:cNvPicPr>
                  </pic:nvPicPr>
                  <pic:blipFill>
                    <a:blip r:embed="rId23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02730" cy="10217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232" w:name="i-232"/>
      <w:bookmarkEnd w:id="232"/>
    </w:p>
    <w:tbl>
      <w:tblPr>
        <w:tblW w:w="6619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4"/>
        <w:gridCol w:w="1501"/>
        <w:gridCol w:w="2844"/>
        <w:gridCol w:w="1996"/>
        <w:gridCol w:w="154"/>
      </w:tblGrid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0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84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9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0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84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9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0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844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751330" cy="585470"/>
                  <wp:effectExtent l="0" t="0" r="0" b="0"/>
                  <wp:docPr id="233" name="Image233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3" name="Image233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1330" cy="5854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233" w:name="i-233"/>
            <w:bookmarkEnd w:id="233"/>
          </w:p>
        </w:tc>
        <w:tc>
          <w:tcPr>
            <w:tcW w:w="19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01" w:type="dxa"/>
            <w:tcBorders/>
            <w:vAlign w:val="center"/>
          </w:tcPr>
          <w:p>
            <w:pPr>
              <w:pStyle w:val="TableContents"/>
              <w:bidi w:val="0"/>
              <w:spacing w:lineRule="atLeast" w:line="2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64BFA6"/>
                <w:sz w:val="2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64BFA6"/>
                <w:sz w:val="26"/>
                <w:u w:val="none"/>
                <w:effect w:val="none"/>
              </w:rPr>
              <w:t>12,909</w:t>
            </w:r>
          </w:p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7"/>
                <w:u w:val="none"/>
                <w:effect w:val="none"/>
              </w:rPr>
              <w:t>full-time employees</w:t>
            </w:r>
          </w:p>
        </w:tc>
        <w:tc>
          <w:tcPr>
            <w:tcW w:w="2844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6" w:type="dxa"/>
            <w:tcBorders/>
            <w:vAlign w:val="center"/>
          </w:tcPr>
          <w:p>
            <w:pPr>
              <w:pStyle w:val="TableContents"/>
              <w:bidi w:val="0"/>
              <w:spacing w:lineRule="atLeast" w:line="2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64BFA6"/>
                <w:sz w:val="2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64BFA6"/>
                <w:sz w:val="26"/>
                <w:u w:val="none"/>
                <w:effect w:val="none"/>
              </w:rPr>
              <w:t>77.4%</w:t>
            </w:r>
          </w:p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7"/>
                <w:u w:val="none"/>
                <w:effect w:val="none"/>
              </w:rPr>
              <w:t>of employees are focused</w:t>
            </w:r>
          </w:p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7"/>
                <w:u w:val="none"/>
                <w:effect w:val="none"/>
              </w:rPr>
              <w:t>on product development</w:t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0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84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9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lineRule="atLeast" w:line="142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*As of March 31, 2026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For additional information with respect to the Company's Human Capital Management, see Item 1 under the heading “Human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 xml:space="preserve">Capital Management” of Part I of the Company's Annual Report on Form 10-K for fiscal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2026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.</w:t>
      </w:r>
    </w:p>
    <w:tbl>
      <w:tblPr>
        <w:tblW w:w="493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301"/>
        <w:gridCol w:w="4636"/>
      </w:tblGrid>
      <w:tr>
        <w:trPr/>
        <w:tc>
          <w:tcPr>
            <w:tcW w:w="30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0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22</w:t>
            </w:r>
          </w:p>
        </w:tc>
        <w:tc>
          <w:tcPr>
            <w:tcW w:w="4636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sz w:val="24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TAKE-TWO INTERACTIVE SOFTWARE, INC.   |   2026</w:t>
            </w:r>
            <w:r>
              <w:rPr>
                <w:caps w:val="false"/>
                <w:smallCaps w:val="false"/>
                <w:strike w:val="false"/>
                <w:dstrike w:val="false"/>
                <w:color w:val="18333C"/>
                <w:sz w:val="24"/>
                <w:u w:val="none"/>
                <w:effect w:val="none"/>
              </w:rPr>
              <w:t xml:space="preserve"> 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Proxy Statement</w:t>
            </w:r>
          </w:p>
        </w:tc>
      </w:tr>
    </w:tbl>
    <w:p>
      <w:pPr>
        <w:pStyle w:val="TextBody"/>
        <w:bidi w:val="0"/>
        <w:spacing w:lineRule="atLeast" w:line="142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3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3"/>
          <w:u w:val="none"/>
          <w:effect w:val="none"/>
        </w:rPr>
        <w:t>CORPORATE GOVERNANCE AND BOARD PRACTICES</w:t>
      </w:r>
    </w:p>
    <w:p>
      <w:pPr>
        <w:pStyle w:val="TextBody"/>
        <w:bidi w:val="0"/>
        <w:spacing w:lineRule="atLeast" w:line="142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2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2"/>
          <w:u w:val="none"/>
          <w:effect w:val="none"/>
        </w:rPr>
        <w:t>BOARD AND GOVERNANCE POLICIES</w:t>
      </w:r>
    </w:p>
    <w:p>
      <w:pPr>
        <w:pStyle w:val="TextBody"/>
        <w:bidi w:val="0"/>
        <w:spacing w:lineRule="atLeast" w:line="24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24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24"/>
          <w:u w:val="none"/>
          <w:effect w:val="none"/>
        </w:rPr>
        <w:t>Sustainability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We aim to integrate environmental responsibility into our operational and product strategies. We will seek to reduce our carbon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footprint and find opportunities for cost savings by seeking to make environmentally conscious choices in our offices worldwide.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4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24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24"/>
          <w:u w:val="none"/>
          <w:effect w:val="none"/>
        </w:rPr>
        <w:t>Community &amp; Engagement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We firmly believe that diversity of thought drives the innovation that is integral to our success. We strive to provide an inclusive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workplace in which everyone feels respected, heard, and safe. Our culture, grounded in compassion, collaboration, and a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commitment to excellence, supports an inclusive and welcoming environment for prospective employees and the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broader community.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8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28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28"/>
          <w:u w:val="none"/>
          <w:effect w:val="none"/>
        </w:rPr>
        <w:t>Board and Governance Policies</w:t>
      </w:r>
    </w:p>
    <w:p>
      <w:pPr>
        <w:pStyle w:val="TextBody"/>
        <w:bidi w:val="0"/>
        <w:spacing w:lineRule="atLeast" w:line="24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24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24"/>
          <w:u w:val="none"/>
          <w:effect w:val="none"/>
        </w:rPr>
        <w:t>Outside Directorship Policy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The Board of Directors has established a policy requiring (i) each director and executive officer to advise the Board of Directors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of all of his or her directorships in other publicly-held or privately-held companies, and (ii) that all members of the Board of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Directors may not sit on more than three outside public company boards. Directors are expected to ensure that other existing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commitments including service on other boards do not interfere with the member’s service as a Company Director. Annually, the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Corporate Governance Committee conducts a review of director commitment levels to ensure they are aligned with our service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expectations. The Corporate Governance Committee has reviewed the Company’s nominees for the Board of Directors and has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determined that all nominees have the capacity to serve effectively on the Company’s Board of Directors.</w:t>
      </w:r>
    </w:p>
    <w:p>
      <w:pPr>
        <w:pStyle w:val="TextBody"/>
        <w:bidi w:val="0"/>
        <w:spacing w:lineRule="atLeast" w:line="24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24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24"/>
          <w:u w:val="none"/>
          <w:effect w:val="none"/>
        </w:rPr>
        <w:t>Code of Business Conduct and Ethics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The Company has adopted a written Code of Business Conduct and Ethics that applies to directors, officers and employees of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the Company, including the Company’s principal executive officer, principal financial officer, principal accounting officer and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controller and any person performing similar functions. A copy of the Code of Business Conduct and Ethics is posted on the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Company’s website at “www.take2games.com” and can be accessed by clicking on “Policies &amp; Conduct,” “Conduct and Social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Responsibility,” then “Global Code of Business Conduct and Ethics.”</w:t>
      </w:r>
    </w:p>
    <w:p>
      <w:pPr>
        <w:pStyle w:val="TextBody"/>
        <w:bidi w:val="0"/>
        <w:spacing w:lineRule="atLeast" w:line="24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24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24"/>
          <w:u w:val="none"/>
          <w:effect w:val="none"/>
        </w:rPr>
        <w:t>Supplier Code of Conduct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The Company has also adopted a Supplier Code of Conduct that applies to vendors, suppliers, consultants and other third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parties we engage, which makes clear that we expect all of our business partners to operate fairly and ethically, comply with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domestic and international laws, and promote a work environment that values honesty, openness, integrity, and respect for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fundamental human rights, wherever in the world we do business. A copy of the Supplier Code of Conduct is posted on the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Company’s website at “www.take2games.com” and can be accessed by clicking on “Polices &amp; Conduct,” then “Supplier Code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of Conduct.”</w:t>
      </w:r>
    </w:p>
    <w:tbl>
      <w:tblPr>
        <w:tblW w:w="4982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4651"/>
        <w:gridCol w:w="331"/>
      </w:tblGrid>
      <w:tr>
        <w:trPr/>
        <w:tc>
          <w:tcPr>
            <w:tcW w:w="46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651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sz w:val="24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TAKE-TWO INTERACTIVE SOFTWARE, INC.   |   2026</w:t>
            </w:r>
            <w:r>
              <w:rPr>
                <w:caps w:val="false"/>
                <w:smallCaps w:val="false"/>
                <w:strike w:val="false"/>
                <w:dstrike w:val="false"/>
                <w:color w:val="18333C"/>
                <w:sz w:val="24"/>
                <w:u w:val="none"/>
                <w:effect w:val="none"/>
              </w:rPr>
              <w:t xml:space="preserve"> 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 xml:space="preserve">Proxy Statement </w:t>
            </w:r>
          </w:p>
        </w:tc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23</w:t>
            </w:r>
          </w:p>
        </w:tc>
      </w:tr>
    </w:tbl>
    <w:p>
      <w:pPr>
        <w:pStyle w:val="TextBody"/>
        <w:bidi w:val="0"/>
        <w:spacing w:lineRule="atLeast" w:line="142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3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3"/>
          <w:u w:val="none"/>
          <w:effect w:val="none"/>
        </w:rPr>
        <w:t>CORPORATE GOVERNANCE AND BOARD PRACTICES</w:t>
      </w:r>
    </w:p>
    <w:p>
      <w:pPr>
        <w:pStyle w:val="TextBody"/>
        <w:bidi w:val="0"/>
        <w:spacing w:lineRule="atLeast" w:line="142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2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2"/>
          <w:u w:val="none"/>
          <w:effect w:val="none"/>
        </w:rPr>
        <w:t>BOARD AND GOVERNANCE POLICIES</w:t>
      </w:r>
    </w:p>
    <w:p>
      <w:pPr>
        <w:pStyle w:val="TextBody"/>
        <w:bidi w:val="0"/>
        <w:spacing w:lineRule="atLeast" w:line="24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24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24"/>
          <w:u w:val="none"/>
          <w:effect w:val="none"/>
        </w:rPr>
        <w:t>Policy on Majority Voting for Directors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The standard in the Company’s bylaws for uncontested director elections is a majority vote standard. In an uncontested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election, a director shall be elected if the number of votes that are cast “for” his or her election by holders of the stock present in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person or represented by proxy entitled to vote on the election of directors exceeds the number of votes cast “against” his or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her election by such holders. If a nominee who currently serves as a director is not re-elected, Delaware law provides that the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director will continue to serve on our Board as a “holdover director” (i.e., until his or her successor has been duly elected and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qualified, or until the earliest of his or her death, resignation or removal). In an uncontested election, any nominee for director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who fails to receive a greater number of votes cast “for” such individual’s election than votes cast “against” such election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promptly shall tender the individual’s resignation to the Corporate Governance Committee following certification of the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shareholder vote. The Corporate Governance Committee promptly will consider the resignation offer and recommend to the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Board of Directors the action to be taken with respect to such offered resignation. The Board of Directors will act on the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Corporate Governance Committee’s recommendation within 90 days following the date of the Annual Meeting. Thereafter, the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Board of Directors will disclose promptly its decision whether to accept the director’s resignation offer (and the reasons for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rejecting the resignation offer, if applicable) in a Current Report on Form 8-K filed with the SEC. Any director tendering a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resignation pursuant to this provision shall not participate in the Corporate Governance Committee recommendation or action of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the Board of Directors regarding whether to accept the resignation offer.</w:t>
      </w:r>
    </w:p>
    <w:p>
      <w:pPr>
        <w:pStyle w:val="TextBody"/>
        <w:bidi w:val="0"/>
        <w:spacing w:lineRule="atLeast" w:line="24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24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24"/>
          <w:u w:val="none"/>
          <w:effect w:val="none"/>
        </w:rPr>
        <w:t>Securities Trading Policy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The Company has adopted a written Securities Trading Policy that applies to directors, officers, employees and consultants of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the Company, including the Company’s principal executive officer, principal financial officer, principal accounting officer and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controller and any person performing similar functions. A copy of the Securities Trading Policy, which includes requirements for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 xml:space="preserve">Rule 10b5-1 trading plans, is included as an exhibit to our Annual Report on Form 10-K for the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fiscal year ended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March 31, 2024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, which is available through our Internet website at www.take2games.com or the SEC’s website at www.sec.gov.</w:t>
      </w:r>
    </w:p>
    <w:p>
      <w:pPr>
        <w:pStyle w:val="TextBody"/>
        <w:bidi w:val="0"/>
        <w:spacing w:lineRule="atLeast" w:line="24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24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24"/>
          <w:u w:val="none"/>
          <w:effect w:val="none"/>
        </w:rPr>
        <w:t>Conflict of Interest Guidelines for Directors/Directors’ Code of Conduct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The Company has adopted a written Conflict of Interest Guidelines for Directors/Directors’ Code of Conduct that applies to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directors of the Company. A copy of the Conflict of Interest Guidelines for Directors/Directors’ Code of Conduct is posted on the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Company’s website at “www.take2games.com” and can be accessed by clicking on “Policies &amp; Conduct,” then “Conflict of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Interest Guidelines for Directors” or “Guidelines for Directors and Board Governance,” as applicable.</w:t>
      </w:r>
    </w:p>
    <w:tbl>
      <w:tblPr>
        <w:tblW w:w="493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301"/>
        <w:gridCol w:w="4636"/>
      </w:tblGrid>
      <w:tr>
        <w:trPr/>
        <w:tc>
          <w:tcPr>
            <w:tcW w:w="30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0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24</w:t>
            </w:r>
          </w:p>
        </w:tc>
        <w:tc>
          <w:tcPr>
            <w:tcW w:w="4636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sz w:val="24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TAKE-TWO INTERACTIVE SOFTWARE, INC.   |   2026</w:t>
            </w:r>
            <w:r>
              <w:rPr>
                <w:caps w:val="false"/>
                <w:smallCaps w:val="false"/>
                <w:strike w:val="false"/>
                <w:dstrike w:val="false"/>
                <w:color w:val="18333C"/>
                <w:sz w:val="24"/>
                <w:u w:val="none"/>
                <w:effect w:val="none"/>
              </w:rPr>
              <w:t xml:space="preserve"> 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Proxy Statement</w:t>
            </w:r>
          </w:p>
        </w:tc>
      </w:tr>
    </w:tbl>
    <w:p>
      <w:pPr>
        <w:pStyle w:val="TextBody"/>
        <w:bidi w:val="0"/>
        <w:spacing w:lineRule="atLeast" w:line="142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3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3"/>
          <w:u w:val="none"/>
          <w:effect w:val="none"/>
        </w:rPr>
        <w:t>CORPORATE GOVERNANCE AND BOARD PRACTICES</w:t>
      </w:r>
    </w:p>
    <w:p>
      <w:pPr>
        <w:pStyle w:val="TextBody"/>
        <w:bidi w:val="0"/>
        <w:spacing w:lineRule="atLeast" w:line="142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2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2"/>
          <w:u w:val="none"/>
          <w:effect w:val="none"/>
        </w:rPr>
        <w:t>OTHER EXECUTIVE OFFICERS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8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28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28"/>
          <w:u w:val="none"/>
          <w:effect w:val="none"/>
        </w:rPr>
        <w:t>Other Executive Officers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Each of the following executive officers, who are not also directors, will serve in such capacity until the next Annual Meeting of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Shareholders or until earlier termination or removal from office.</w:t>
      </w:r>
    </w:p>
    <w:tbl>
      <w:tblPr>
        <w:tblW w:w="1020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884"/>
        <w:gridCol w:w="146"/>
        <w:gridCol w:w="8175"/>
      </w:tblGrid>
      <w:tr>
        <w:trPr/>
        <w:tc>
          <w:tcPr>
            <w:tcW w:w="188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7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884" w:type="dxa"/>
            <w:vMerge w:val="restart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822960" cy="822960"/>
                  <wp:effectExtent l="0" t="0" r="0" b="0"/>
                  <wp:docPr id="234" name="Image234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4" name="Image234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2960" cy="8229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234" w:name="i-234"/>
            <w:bookmarkEnd w:id="234"/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  <w:t>President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/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  <w:t>Age: 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B0295B"/>
                <w:sz w:val="15"/>
                <w:u w:val="none"/>
                <w:effect w:val="none"/>
              </w:rPr>
              <w:t>56</w:t>
            </w:r>
          </w:p>
        </w:tc>
        <w:tc>
          <w:tcPr>
            <w:tcW w:w="1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75" w:type="dxa"/>
            <w:tcBorders/>
            <w:shd w:fill="64BFA6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  <w:t>KARL SLATOFF</w:t>
            </w:r>
          </w:p>
        </w:tc>
      </w:tr>
      <w:tr>
        <w:trPr/>
        <w:tc>
          <w:tcPr>
            <w:tcW w:w="1884" w:type="dxa"/>
            <w:vMerge w:val="continue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7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884" w:type="dxa"/>
            <w:vMerge w:val="continue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4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8175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64BFA6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64BFA6"/>
                <w:sz w:val="14"/>
                <w:u w:val="none"/>
                <w:effect w:val="none"/>
              </w:rPr>
              <w:t>Key experience and qualifications:</w:t>
            </w:r>
          </w:p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Mr. Slatoff became President of the Company in May 2013 and served as Chief Operating Officer of the</w:t>
            </w: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Company from October 2010 through April 2013. Mr. Slatoff serves as President of the Company pursuant to</w:t>
            </w: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the terms of the 2022 Management Agreement (as defined below) between the Company and ZMC. See</w:t>
            </w: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u w:val="single"/>
              </w:rPr>
            </w:pP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>“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Certain Relationships and Related Transactions—Management Agreement.” From February 2008 to October</w:t>
            </w: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2010, Mr. Slatoff served as an Executive Vice President of the Company. Mr. Slatoff also is a partner in ZMC.</w:t>
            </w: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He previously served as a director of Cannella Response Television, LLC and CommentSold, Inc.</w:t>
            </w:r>
          </w:p>
        </w:tc>
      </w:tr>
      <w:tr>
        <w:trPr/>
        <w:tc>
          <w:tcPr>
            <w:tcW w:w="1884" w:type="dxa"/>
            <w:vMerge w:val="continue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75" w:type="dxa"/>
            <w:tcBorders>
              <w:bottom w:val="single" w:sz="2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884" w:type="dxa"/>
            <w:vMerge w:val="continue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75" w:type="dxa"/>
            <w:tcBorders>
              <w:top w:val="single" w:sz="2" w:space="0" w:color="18333C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884" w:type="dxa"/>
            <w:vMerge w:val="continue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46" w:type="dxa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75" w:type="dxa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Prior to joining ZMC in 2001, Mr. Slatoff served as Vice President, New Media for BMG Entertainment, where</w:t>
            </w: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he was responsible for guiding BMG’s online digital strategies, including the development of commercial digital</w:t>
            </w: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distribution initiatives and new business models for the sale and syndication of online content. From 1994 to</w:t>
            </w: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1996, he worked in strategic planning at the Walt Disney Company, where he focused on the consumer</w:t>
            </w: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products, studio and broadcast divisions, as well as several initiatives in the educational, publishing and new</w:t>
            </w: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media sectors. From 1992 to 1994, Mr. Slatoff worked in the corporate finance and mergers and acquisitions</w:t>
            </w: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units at Lehman Brothers where he focused on the consumer products and retail/merchandising industries.</w:t>
            </w:r>
          </w:p>
        </w:tc>
      </w:tr>
      <w:tr>
        <w:trPr/>
        <w:tc>
          <w:tcPr>
            <w:tcW w:w="1884" w:type="dxa"/>
            <w:tcBorders>
              <w:top w:val="single" w:sz="4" w:space="0" w:color="18333C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3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146" w:type="dxa"/>
            <w:tcBorders>
              <w:top w:val="single" w:sz="4" w:space="0" w:color="18333C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3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8175" w:type="dxa"/>
            <w:tcBorders>
              <w:top w:val="single" w:sz="4" w:space="0" w:color="18333C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3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</w:tr>
      <w:tr>
        <w:trPr/>
        <w:tc>
          <w:tcPr>
            <w:tcW w:w="1884" w:type="dxa"/>
            <w:vMerge w:val="restart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822960" cy="822960"/>
                  <wp:effectExtent l="0" t="0" r="0" b="0"/>
                  <wp:docPr id="235" name="Image235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5" name="Image235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2960" cy="8229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235" w:name="i-235"/>
            <w:bookmarkEnd w:id="235"/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  <w:t>Chief Financial Officer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/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  <w:t>Age: 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B0295B"/>
                <w:sz w:val="15"/>
                <w:u w:val="none"/>
                <w:effect w:val="none"/>
              </w:rPr>
              <w:t>58</w:t>
            </w:r>
          </w:p>
        </w:tc>
        <w:tc>
          <w:tcPr>
            <w:tcW w:w="1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75" w:type="dxa"/>
            <w:tcBorders/>
            <w:shd w:fill="64BFA6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  <w:t>LAINIE GOLDSTEIN</w:t>
            </w:r>
          </w:p>
        </w:tc>
      </w:tr>
      <w:tr>
        <w:trPr/>
        <w:tc>
          <w:tcPr>
            <w:tcW w:w="1884" w:type="dxa"/>
            <w:vMerge w:val="continue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7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884" w:type="dxa"/>
            <w:vMerge w:val="continue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4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8175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64BFA6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64BFA6"/>
                <w:sz w:val="14"/>
                <w:u w:val="none"/>
                <w:effect w:val="none"/>
              </w:rPr>
              <w:t>Key experience and qualifications:</w:t>
            </w:r>
          </w:p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Ms. Goldstein has been Chief Financial Officer of the Company since June 2007, and is responsible for</w:t>
            </w: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overseeing Finance, Investor Relations and Corporate Communications. Ms. Goldstein previously served as</w:t>
            </w: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the Company’s Senior Vice President of Finance from November 2003. Ms. Goldstein also serves as a director</w:t>
            </w: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and member of the audit committee of Phreesia, Inc.</w:t>
            </w:r>
          </w:p>
        </w:tc>
      </w:tr>
      <w:tr>
        <w:trPr/>
        <w:tc>
          <w:tcPr>
            <w:tcW w:w="1884" w:type="dxa"/>
            <w:vMerge w:val="continue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75" w:type="dxa"/>
            <w:tcBorders>
              <w:bottom w:val="single" w:sz="2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884" w:type="dxa"/>
            <w:vMerge w:val="continue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75" w:type="dxa"/>
            <w:tcBorders>
              <w:top w:val="single" w:sz="2" w:space="0" w:color="18333C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884" w:type="dxa"/>
            <w:vMerge w:val="continue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46" w:type="dxa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75" w:type="dxa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Ms. Goldstein is a CPA with financial and business experience in the software, entertainment, retail and</w:t>
            </w: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apparel industries, with proven success in managing the finance function of publicly traded companies. Prior to</w:t>
            </w: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joining the Company, she held a number of positions of increasing responsibility with Nautica Enterprises, Inc.,</w:t>
            </w: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most recently serving as Vice President, Finance and Business Development. Earlier in her career, she held</w:t>
            </w: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positions in the audit and reorganization departments at Grant Thornton LLP.</w:t>
            </w:r>
          </w:p>
        </w:tc>
      </w:tr>
      <w:tr>
        <w:trPr/>
        <w:tc>
          <w:tcPr>
            <w:tcW w:w="1884" w:type="dxa"/>
            <w:tcBorders>
              <w:top w:val="single" w:sz="4" w:space="0" w:color="18333C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3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146" w:type="dxa"/>
            <w:tcBorders>
              <w:top w:val="single" w:sz="4" w:space="0" w:color="18333C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3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8175" w:type="dxa"/>
            <w:tcBorders>
              <w:top w:val="single" w:sz="4" w:space="0" w:color="18333C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30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</w:tr>
      <w:tr>
        <w:trPr/>
        <w:tc>
          <w:tcPr>
            <w:tcW w:w="1884" w:type="dxa"/>
            <w:vMerge w:val="restart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822960" cy="822960"/>
                  <wp:effectExtent l="0" t="0" r="0" b="0"/>
                  <wp:docPr id="236" name="Image236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6" name="Image236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2960" cy="8229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236" w:name="i-236"/>
            <w:bookmarkEnd w:id="236"/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  <w:t xml:space="preserve">Executive Vice President 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  <w:t>and Chief Legal Officer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/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  <w:t>Age: 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B0295B"/>
                <w:sz w:val="15"/>
                <w:u w:val="none"/>
                <w:effect w:val="none"/>
              </w:rPr>
              <w:t>54</w:t>
            </w:r>
          </w:p>
        </w:tc>
        <w:tc>
          <w:tcPr>
            <w:tcW w:w="1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75" w:type="dxa"/>
            <w:tcBorders/>
            <w:shd w:fill="64BFA6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  <w:t>DANIEL EMERSON</w:t>
            </w:r>
          </w:p>
        </w:tc>
      </w:tr>
      <w:tr>
        <w:trPr/>
        <w:tc>
          <w:tcPr>
            <w:tcW w:w="1884" w:type="dxa"/>
            <w:vMerge w:val="continue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7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884" w:type="dxa"/>
            <w:vMerge w:val="continue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4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8175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64BFA6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64BFA6"/>
                <w:sz w:val="14"/>
                <w:u w:val="none"/>
                <w:effect w:val="none"/>
              </w:rPr>
              <w:t>Key experience and qualifications:</w:t>
            </w:r>
          </w:p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Mr. Emerson has served as Executive Vice President and General Counsel of the Company since October</w:t>
            </w: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2014 and, effective May 2019, Mr. Emerson was made Chief Legal Officer. Mr. Emerson joined the Company</w:t>
            </w: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as a Vice President in June 2005 and served in various capacities of increasing responsibility within the legal</w:t>
            </w: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department, including Senior Vice President, Corporate Secretary, Deputy General Counsel and General</w:t>
            </w: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Counsel. In addition to serving as the Chief Legal Officer of the Company, Mr. Emerson oversees</w:t>
            </w: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administrative management of Internal Audit on behalf of the Audit Committee.</w:t>
            </w:r>
          </w:p>
        </w:tc>
      </w:tr>
      <w:tr>
        <w:trPr/>
        <w:tc>
          <w:tcPr>
            <w:tcW w:w="1884" w:type="dxa"/>
            <w:vMerge w:val="continue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75" w:type="dxa"/>
            <w:tcBorders>
              <w:bottom w:val="single" w:sz="2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884" w:type="dxa"/>
            <w:vMerge w:val="continue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75" w:type="dxa"/>
            <w:tcBorders>
              <w:top w:val="single" w:sz="2" w:space="0" w:color="18333C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884" w:type="dxa"/>
            <w:vMerge w:val="continue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46" w:type="dxa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75" w:type="dxa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Prior to joining the Company, Mr. Emerson was a partner in the New York office of the law firm Blank Rome</w:t>
            </w: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LLP, where he represented public and private companies across a variety of industries in mergers &amp;</w:t>
            </w: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60" w:before="0" w:after="0"/>
              <w:jc w:val="both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acquisitions, securities law, financings and general corporate matters.</w:t>
            </w:r>
          </w:p>
        </w:tc>
      </w:tr>
    </w:tbl>
    <w:tbl>
      <w:tblPr>
        <w:tblW w:w="4982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4651"/>
        <w:gridCol w:w="331"/>
      </w:tblGrid>
      <w:tr>
        <w:trPr/>
        <w:tc>
          <w:tcPr>
            <w:tcW w:w="46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651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sz w:val="24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TAKE-TWO INTERACTIVE SOFTWARE, INC.   |   2026</w:t>
            </w:r>
            <w:r>
              <w:rPr>
                <w:caps w:val="false"/>
                <w:smallCaps w:val="false"/>
                <w:strike w:val="false"/>
                <w:dstrike w:val="false"/>
                <w:color w:val="18333C"/>
                <w:sz w:val="24"/>
                <w:u w:val="none"/>
                <w:effect w:val="none"/>
              </w:rPr>
              <w:t xml:space="preserve"> 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 xml:space="preserve">Proxy Statement </w:t>
            </w:r>
          </w:p>
        </w:tc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25</w:t>
            </w:r>
          </w:p>
        </w:tc>
      </w:tr>
    </w:tbl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38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38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38"/>
          <w:u w:val="none"/>
          <w:effect w:val="none"/>
        </w:rPr>
        <w:t xml:space="preserve">PROPOSAL 2: NON-BINDING ADVISORY VOTE TO </w:t>
      </w:r>
    </w:p>
    <w:p>
      <w:pPr>
        <w:pStyle w:val="TextBody"/>
        <w:bidi w:val="0"/>
        <w:spacing w:lineRule="atLeast" w:line="38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38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38"/>
          <w:u w:val="none"/>
          <w:effect w:val="none"/>
        </w:rPr>
        <w:t xml:space="preserve">APPROVE THE COMPENSATION OF THE COMPANY’S </w:t>
      </w:r>
    </w:p>
    <w:p>
      <w:pPr>
        <w:pStyle w:val="TextBody"/>
        <w:bidi w:val="0"/>
        <w:spacing w:lineRule="atLeast" w:line="38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38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38"/>
          <w:u w:val="none"/>
          <w:effect w:val="none"/>
        </w:rPr>
        <w:t>NAMED EXECUTIVE OFFICERS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In accordance with the SEC’s proxy rules, we are seeking approval, on a non-binding advisory basis, of the compensation of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 xml:space="preserve">the Company’s “named executive officers” listed in the Summary Compensation Table (the “NEOs”) for fiscal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2026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, as disclosed</w:t>
      </w:r>
      <w:r>
        <w:rPr>
          <w:caps w:val="false"/>
          <w:smallCaps w:val="false"/>
          <w:sz w:val="24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in this Proxy Statement pursuant to Item 402 of Regulation S-K, including the Compensation Discussion and Analysis, the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compensation tables, and the related narrative disclosures. This vote is not intended to address any specific item of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compensation, but rather the overall compensation of our NEOs and the philosophy, policies and practices described in this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Proxy Statement. This vote is commonly known as a “say-on-pay” advisory vote. Consistent with the approval by our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shareholders, on an advisory basis, of an annual advisory vote on the compensation of the named executive officers, the Board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of Directors has adopted a policy providing for annual “say-on-pay” advisory votes.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The compensation of our NEOs is described in detail in the “Compensation Discussion and Analysis” section of this Proxy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/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 xml:space="preserve">Statement beginning on </w:t>
      </w:r>
      <w:hyperlink w:anchor="ic520981c3fc6423da018a5df888014d2_73">
        <w:r>
          <w:rPr>
            <w:rStyle w:val="InternetLink"/>
            <w:rFonts w:ascii="Arial;sans-serif" w:hAnsi="Arial;sans-serif"/>
            <w:b w:val="false"/>
            <w:i w:val="false"/>
            <w:caps w:val="false"/>
            <w:smallCaps w:val="false"/>
            <w:strike w:val="false"/>
            <w:dstrike w:val="false"/>
            <w:color w:val="000000"/>
            <w:sz w:val="18"/>
            <w:u w:val="single"/>
            <w:effect w:val="none"/>
          </w:rPr>
          <w:t>page</w:t>
        </w:r>
      </w:hyperlink>
      <w:r>
        <w:rPr>
          <w:caps w:val="false"/>
          <w:smallCaps w:val="false"/>
          <w:u w:val="single"/>
        </w:rPr>
        <w:t xml:space="preserve"> </w:t>
      </w:r>
      <w:hyperlink w:anchor="ic520981c3fc6423da018a5df888014d2_73">
        <w:r>
          <w:rPr>
            <w:rStyle w:val="InternetLink"/>
            <w:rFonts w:ascii="Arial;sans-serif" w:hAnsi="Arial;sans-serif"/>
            <w:b w:val="false"/>
            <w:i w:val="false"/>
            <w:caps w:val="false"/>
            <w:smallCaps w:val="false"/>
            <w:strike w:val="false"/>
            <w:dstrike w:val="false"/>
            <w:color w:val="000000"/>
            <w:sz w:val="18"/>
            <w:u w:val="single"/>
            <w:effect w:val="none"/>
          </w:rPr>
          <w:t>26</w:t>
        </w:r>
      </w:hyperlink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, which we encourage you to read for additional details on our executive compensation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 xml:space="preserve">programs and compensation of our NEOs for fiscal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2026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.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Our executive compensation programs are based on three core principles that are designed to motivate our NEOs to achieve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annual financial and strategic objectives to enhance the profitability of the Company and create long-term shareholder value.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The fiscal 2026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compensation of our NEOs reflected these core principles:</w:t>
      </w:r>
    </w:p>
    <w:p>
      <w:pPr>
        <w:pStyle w:val="TextBody"/>
        <w:bidi w:val="0"/>
        <w:spacing w:before="0" w:after="0"/>
        <w:jc w:val="left"/>
        <w:rPr>
          <w:shd w:fill="auto" w:val="clear"/>
        </w:rPr>
      </w:pPr>
      <w:r>
        <w:rPr>
          <w:shd w:fill="auto" w:val="clear"/>
        </w:rPr>
        <w:drawing>
          <wp:inline distT="0" distB="0" distL="0" distR="0">
            <wp:extent cx="6604635" cy="1486535"/>
            <wp:effectExtent l="0" t="0" r="0" b="0"/>
            <wp:docPr id="237" name="Image237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7" name="Image237" descr=""/>
                    <pic:cNvPicPr>
                      <a:picLocks noChangeAspect="1" noChangeArrowheads="1"/>
                    </pic:cNvPicPr>
                  </pic:nvPicPr>
                  <pic:blipFill>
                    <a:blip r:embed="rId23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04635" cy="14865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237" w:name="i-237"/>
      <w:bookmarkEnd w:id="237"/>
    </w:p>
    <w:tbl>
      <w:tblPr>
        <w:tblW w:w="1016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4"/>
        <w:gridCol w:w="331"/>
        <w:gridCol w:w="9556"/>
        <w:gridCol w:w="154"/>
      </w:tblGrid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55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55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55575" cy="159385"/>
                  <wp:effectExtent l="0" t="0" r="0" b="0"/>
                  <wp:docPr id="238" name="Image238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8" name="Image238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5575" cy="1593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238" w:name="i-238"/>
            <w:bookmarkEnd w:id="238"/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caps w:val="false"/>
                <w:smallCaps w:val="false"/>
              </w:rPr>
            </w:pPr>
            <w:r>
              <w:rPr>
                <w:caps w:val="false"/>
                <w:smallCaps w:val="false"/>
              </w:rPr>
              <w:t> </w:t>
            </w:r>
          </w:p>
        </w:tc>
        <w:tc>
          <w:tcPr>
            <w:tcW w:w="955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A substantial portion of our NEOs’ compensation was based on the financial performance of the Company and</w:t>
            </w: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80" w:before="0" w:after="0"/>
              <w:jc w:val="both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therefore “at risk”;</w:t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</w:rPr>
            </w:pPr>
            <w:r>
              <w:rPr>
                <w:caps w:val="false"/>
                <w:smallCaps w:val="fals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55575" cy="159385"/>
                  <wp:effectExtent l="0" t="0" r="0" b="0"/>
                  <wp:docPr id="239" name="Image239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9" name="Image239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5575" cy="1593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239" w:name="i-239"/>
            <w:bookmarkEnd w:id="239"/>
          </w:p>
        </w:tc>
        <w:tc>
          <w:tcPr>
            <w:tcW w:w="955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The majority of each NEO’s total compensation was provided in the form of long-term equity, two-thirds of which was</w:t>
            </w: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8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subject to performance-based vesting, including total shareholder return (“TSR”) and recurrent consumer spending</w:t>
            </w: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80" w:before="0" w:after="0"/>
              <w:jc w:val="both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(“RCS”) performance metrics, to further align the interests of our NEOs and shareholders; and</w:t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</w:rPr>
            </w:pPr>
            <w:r>
              <w:rPr>
                <w:caps w:val="false"/>
                <w:smallCaps w:val="fals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55575" cy="159385"/>
                  <wp:effectExtent l="0" t="0" r="0" b="0"/>
                  <wp:docPr id="240" name="Image240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0" name="Image240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5575" cy="1593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240" w:name="i-240"/>
            <w:bookmarkEnd w:id="240"/>
          </w:p>
        </w:tc>
        <w:tc>
          <w:tcPr>
            <w:tcW w:w="955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The target total direct compensation package for each NEO was consistent with market practices for executive talent</w:t>
            </w: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80" w:before="0" w:after="0"/>
              <w:jc w:val="both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and each NEO’s individual experience, responsibilities and performance.</w:t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55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 xml:space="preserve">We believe that our compensation programs and policies for fiscal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2026</w:t>
      </w:r>
      <w:r>
        <w:rPr>
          <w:caps w:val="false"/>
          <w:smallCaps w:val="false"/>
          <w:sz w:val="24"/>
          <w:u w:val="singl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were consistent with our core compensation principles,</w:t>
      </w:r>
      <w:r>
        <w:rPr>
          <w:caps w:val="false"/>
          <w:smallCaps w:val="false"/>
          <w:sz w:val="24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provided an effective incentive for the achievement of positive results, aligned with shareholders’ interests, are supported by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strong compensation governance practices and worthy of continued shareholder support. Accordingly, we ask for our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shareholders to indicate their support for the compensation paid to our NEOs by voting “FOR” the following non-binding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resolution at the Annual Meeting: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caps w:val="false"/>
          <w:smallCaps w:val="false"/>
          <w:u w:val="single"/>
        </w:rPr>
        <w:t>“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 xml:space="preserve">RESOLVED, that the Company’s shareholders approve the compensation of the named executive officers for the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fiscal year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ended March 31, 2026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, including the Compensation Discussion and Analysis, the compensation tables, and the related</w:t>
      </w:r>
      <w:r>
        <w:rPr>
          <w:caps w:val="false"/>
          <w:smallCaps w:val="false"/>
          <w:sz w:val="24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narrative disclosures as included in this Proxy Statement.”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Because your vote is advisory, the result will not be binding upon the Company. Although not binding, the Board of Directors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values the opinions of our shareholders and will carefully review and consider the outcome of the vote, along with other relevant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factors, in evaluating its compensation program for our NEOs.</w:t>
      </w:r>
    </w:p>
    <w:tbl>
      <w:tblPr>
        <w:tblW w:w="8880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389"/>
        <w:gridCol w:w="8491"/>
      </w:tblGrid>
      <w:tr>
        <w:trPr/>
        <w:tc>
          <w:tcPr>
            <w:tcW w:w="38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89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</w:rPr>
            </w:pPr>
            <w:r>
              <w:rPr>
                <w:caps w:val="false"/>
                <w:smallCaps w:val="fals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82880" cy="187325"/>
                  <wp:effectExtent l="0" t="0" r="0" b="0"/>
                  <wp:docPr id="241" name="Image24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1" name="Image24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880" cy="1873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241" w:name="i-241"/>
            <w:bookmarkEnd w:id="241"/>
          </w:p>
        </w:tc>
        <w:tc>
          <w:tcPr>
            <w:tcW w:w="8491" w:type="dxa"/>
            <w:tcBorders/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sz w:val="17"/>
                <w:u w:val="none"/>
                <w:effect w:val="none"/>
              </w:rPr>
              <w:t>THE BOARD OF DIRECTORS BELIEVES THAT APPROVAL OF THE FOREGOING RESOLUTION ON THE</w:t>
            </w: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7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sz w:val="17"/>
                <w:u w:val="none"/>
                <w:effect w:val="none"/>
              </w:rPr>
              <w:t>COMPENSATION OF THE NEOS IS IN THE BEST INTERESTS OF THE COMPANY AND UNANIMOUSLY</w:t>
            </w: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7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sz w:val="17"/>
                <w:u w:val="none"/>
                <w:effect w:val="none"/>
              </w:rPr>
              <w:t>RECOMMENDS THAT SHAREHOLDERS VOTE “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64BFA6"/>
                <w:sz w:val="17"/>
                <w:u w:val="none"/>
                <w:effect w:val="none"/>
              </w:rPr>
              <w:t>FOR</w:t>
            </w: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 xml:space="preserve">” 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sz w:val="17"/>
                <w:u w:val="none"/>
                <w:effect w:val="none"/>
              </w:rPr>
              <w:t>THE APPROVAL OF THE COMPENSATION OF THE</w:t>
            </w: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70" w:before="0" w:after="0"/>
              <w:jc w:val="both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sz w:val="17"/>
                <w:u w:val="none"/>
                <w:effect w:val="none"/>
              </w:rPr>
              <w:t>COMPANY’S NEOS, AS STATED IN THE ABOVE NON-BINDING RESOLUTION.</w:t>
            </w:r>
          </w:p>
        </w:tc>
      </w:tr>
    </w:tbl>
    <w:tbl>
      <w:tblPr>
        <w:tblW w:w="493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301"/>
        <w:gridCol w:w="4636"/>
      </w:tblGrid>
      <w:tr>
        <w:trPr/>
        <w:tc>
          <w:tcPr>
            <w:tcW w:w="30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0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26</w:t>
            </w:r>
          </w:p>
        </w:tc>
        <w:tc>
          <w:tcPr>
            <w:tcW w:w="4636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sz w:val="24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TAKE-TWO INTERACTIVE SOFTWARE, INC.   |   2026</w:t>
            </w:r>
            <w:r>
              <w:rPr>
                <w:caps w:val="false"/>
                <w:smallCaps w:val="false"/>
                <w:strike w:val="false"/>
                <w:dstrike w:val="false"/>
                <w:color w:val="18333C"/>
                <w:sz w:val="24"/>
                <w:u w:val="none"/>
                <w:effect w:val="none"/>
              </w:rPr>
              <w:t xml:space="preserve"> 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Proxy Statement</w:t>
            </w:r>
          </w:p>
        </w:tc>
      </w:tr>
    </w:tbl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38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38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38"/>
          <w:u w:val="none"/>
          <w:effect w:val="none"/>
        </w:rPr>
        <w:t>COMPENSATION DISCUSSION AND ANALYSIS</w:t>
      </w:r>
    </w:p>
    <w:tbl>
      <w:tblPr>
        <w:tblW w:w="514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4816"/>
        <w:gridCol w:w="331"/>
      </w:tblGrid>
      <w:tr>
        <w:trPr/>
        <w:tc>
          <w:tcPr>
            <w:tcW w:w="481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816" w:type="dxa"/>
            <w:tcBorders/>
            <w:shd w:fill="F3F3F3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1" w:type="dxa"/>
            <w:tcBorders/>
            <w:shd w:fill="F3F3F3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5147" w:type="dxa"/>
            <w:gridSpan w:val="2"/>
            <w:tcBorders/>
            <w:shd w:fill="F3F3F3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20"/>
                <w:u w:val="none"/>
                <w:effect w:val="none"/>
              </w:rPr>
              <w:t>TABLE OF CONTENTS</w:t>
            </w:r>
          </w:p>
        </w:tc>
      </w:tr>
      <w:tr>
        <w:trPr/>
        <w:tc>
          <w:tcPr>
            <w:tcW w:w="4816" w:type="dxa"/>
            <w:tcBorders/>
            <w:shd w:fill="F3F3F3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1" w:type="dxa"/>
            <w:tcBorders/>
            <w:shd w:fill="F3F3F3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816" w:type="dxa"/>
            <w:tcBorders/>
            <w:shd w:fill="F3F3F3" w:val="clear"/>
            <w:vAlign w:val="center"/>
          </w:tcPr>
          <w:p>
            <w:pPr>
              <w:pStyle w:val="TableContents"/>
              <w:bidi w:val="0"/>
              <w:spacing w:lineRule="atLeast" w:line="190" w:before="0" w:after="0"/>
              <w:jc w:val="left"/>
              <w:rPr/>
            </w:pPr>
            <w:hyperlink w:anchor="ic520981c3fc6423da018a5df888014d2_73">
              <w:r>
                <w:rPr>
                  <w:rStyle w:val="InternetLink"/>
                  <w:rFonts w:ascii="Arial;sans-serif" w:hAnsi="Arial;sans-serif"/>
                  <w:b/>
                  <w:i w:val="false"/>
                  <w:caps w:val="false"/>
                  <w:smallCaps w:val="false"/>
                  <w:strike w:val="false"/>
                  <w:dstrike w:val="false"/>
                  <w:color w:val="18333C"/>
                  <w:sz w:val="19"/>
                  <w:u w:val="single"/>
                  <w:effect w:val="none"/>
                </w:rPr>
                <w:t>Compensation Discussion and Analysis</w:t>
              </w:r>
            </w:hyperlink>
          </w:p>
        </w:tc>
        <w:tc>
          <w:tcPr>
            <w:tcW w:w="331" w:type="dxa"/>
            <w:tcBorders/>
            <w:shd w:fill="F3F3F3" w:val="clear"/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/>
            </w:pPr>
            <w:hyperlink w:anchor="ic520981c3fc6423da018a5df888014d2_73">
              <w:r>
                <w:rPr>
                  <w:rStyle w:val="InternetLink"/>
                  <w:rFonts w:ascii="Arial;sans-serif" w:hAnsi="Arial;sans-serif"/>
                  <w:b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7"/>
                  <w:u w:val="single"/>
                  <w:effect w:val="none"/>
                </w:rPr>
                <w:t>26</w:t>
              </w:r>
            </w:hyperlink>
          </w:p>
        </w:tc>
      </w:tr>
      <w:tr>
        <w:trPr/>
        <w:tc>
          <w:tcPr>
            <w:tcW w:w="4816" w:type="dxa"/>
            <w:tcBorders/>
            <w:shd w:fill="F3F3F3" w:val="clear"/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/>
            </w:pPr>
            <w:hyperlink w:anchor="ic520981c3fc6423da018a5df888014d2_76">
              <w:r>
                <w:rPr>
                  <w:rStyle w:val="InternetLink"/>
                  <w:rFonts w:ascii="Arial;sans-serif" w:hAnsi="Arial;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18333C"/>
                  <w:sz w:val="17"/>
                  <w:u w:val="single"/>
                  <w:effect w:val="none"/>
                </w:rPr>
                <w:t>Executive Summary</w:t>
              </w:r>
            </w:hyperlink>
          </w:p>
        </w:tc>
        <w:tc>
          <w:tcPr>
            <w:tcW w:w="331" w:type="dxa"/>
            <w:tcBorders/>
            <w:shd w:fill="F3F3F3" w:val="clear"/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/>
            </w:pPr>
            <w:hyperlink w:anchor="ic520981c3fc6423da018a5df888014d2_76">
              <w:r>
                <w:rPr>
                  <w:rStyle w:val="InternetLink"/>
                  <w:rFonts w:ascii="Arial;sans-serif" w:hAnsi="Arial;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7"/>
                  <w:u w:val="single"/>
                  <w:effect w:val="none"/>
                </w:rPr>
                <w:t>26</w:t>
              </w:r>
            </w:hyperlink>
          </w:p>
        </w:tc>
      </w:tr>
      <w:tr>
        <w:trPr/>
        <w:tc>
          <w:tcPr>
            <w:tcW w:w="4816" w:type="dxa"/>
            <w:tcBorders/>
            <w:shd w:fill="F3F3F3" w:val="clear"/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/>
            </w:pPr>
            <w:hyperlink w:anchor="ic520981c3fc6423da018a5df888014d2_79">
              <w:r>
                <w:rPr>
                  <w:rStyle w:val="InternetLink"/>
                  <w:rFonts w:ascii="Arial;sans-serif" w:hAnsi="Arial;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18333C"/>
                  <w:sz w:val="17"/>
                  <w:u w:val="single"/>
                  <w:effect w:val="none"/>
                </w:rPr>
                <w:t>Detailed Discussion and Analysis</w:t>
              </w:r>
            </w:hyperlink>
          </w:p>
        </w:tc>
        <w:tc>
          <w:tcPr>
            <w:tcW w:w="331" w:type="dxa"/>
            <w:tcBorders/>
            <w:shd w:fill="F3F3F3" w:val="clear"/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/>
            </w:pPr>
            <w:hyperlink w:anchor="ic520981c3fc6423da018a5df888014d2_79">
              <w:r>
                <w:rPr>
                  <w:rStyle w:val="InternetLink"/>
                  <w:rFonts w:ascii="Arial;sans-serif" w:hAnsi="Arial;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7"/>
                  <w:u w:val="single"/>
                  <w:effect w:val="none"/>
                </w:rPr>
                <w:t>33</w:t>
              </w:r>
            </w:hyperlink>
          </w:p>
        </w:tc>
      </w:tr>
      <w:tr>
        <w:trPr/>
        <w:tc>
          <w:tcPr>
            <w:tcW w:w="4816" w:type="dxa"/>
            <w:tcBorders/>
            <w:shd w:fill="F3F3F3" w:val="clear"/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/>
            </w:pPr>
            <w:hyperlink w:anchor="ic520981c3fc6423da018a5df888014d2_103">
              <w:r>
                <w:rPr>
                  <w:rStyle w:val="InternetLink"/>
                  <w:rFonts w:ascii="Arial;sans-serif" w:hAnsi="Arial;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18333C"/>
                  <w:sz w:val="17"/>
                  <w:u w:val="single"/>
                  <w:effect w:val="none"/>
                </w:rPr>
                <w:t>Report of the Compensation Committee of the Board of Directors</w:t>
              </w:r>
            </w:hyperlink>
          </w:p>
        </w:tc>
        <w:tc>
          <w:tcPr>
            <w:tcW w:w="331" w:type="dxa"/>
            <w:tcBorders/>
            <w:shd w:fill="F3F3F3" w:val="clear"/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/>
            </w:pPr>
            <w:hyperlink w:anchor="ic520981c3fc6423da018a5df888014d2_103">
              <w:r>
                <w:rPr>
                  <w:rStyle w:val="InternetLink"/>
                  <w:rFonts w:ascii="Arial;sans-serif" w:hAnsi="Arial;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7"/>
                  <w:u w:val="single"/>
                  <w:effect w:val="none"/>
                </w:rPr>
                <w:t>48</w:t>
              </w:r>
            </w:hyperlink>
          </w:p>
        </w:tc>
      </w:tr>
      <w:tr>
        <w:trPr/>
        <w:tc>
          <w:tcPr>
            <w:tcW w:w="4816" w:type="dxa"/>
            <w:tcBorders/>
            <w:shd w:fill="F3F3F3" w:val="clear"/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/>
            </w:pPr>
            <w:hyperlink w:anchor="ic520981c3fc6423da018a5df888014d2_106">
              <w:r>
                <w:rPr>
                  <w:rStyle w:val="InternetLink"/>
                  <w:rFonts w:ascii="Arial;sans-serif" w:hAnsi="Arial;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18333C"/>
                  <w:sz w:val="17"/>
                  <w:u w:val="single"/>
                  <w:effect w:val="none"/>
                </w:rPr>
                <w:t>Risk Assessment of Overall Compensation Program</w:t>
              </w:r>
            </w:hyperlink>
          </w:p>
        </w:tc>
        <w:tc>
          <w:tcPr>
            <w:tcW w:w="331" w:type="dxa"/>
            <w:tcBorders/>
            <w:shd w:fill="F3F3F3" w:val="clear"/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/>
            </w:pPr>
            <w:hyperlink w:anchor="ic520981c3fc6423da018a5df888014d2_106">
              <w:r>
                <w:rPr>
                  <w:rStyle w:val="InternetLink"/>
                  <w:rFonts w:ascii="Arial;sans-serif" w:hAnsi="Arial;sans-serif"/>
                  <w:b w:val="false"/>
                  <w:i w:val="false"/>
                  <w:caps w:val="false"/>
                  <w:smallCaps w:val="false"/>
                  <w:strike w:val="false"/>
                  <w:dstrike w:val="false"/>
                  <w:color w:val="000000"/>
                  <w:sz w:val="17"/>
                  <w:u w:val="single"/>
                  <w:effect w:val="none"/>
                </w:rPr>
                <w:t>48</w:t>
              </w:r>
            </w:hyperlink>
          </w:p>
        </w:tc>
      </w:tr>
      <w:tr>
        <w:trPr/>
        <w:tc>
          <w:tcPr>
            <w:tcW w:w="4816" w:type="dxa"/>
            <w:tcBorders/>
            <w:shd w:fill="F3F3F3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1" w:type="dxa"/>
            <w:tcBorders/>
            <w:shd w:fill="F3F3F3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The Compensation Discussion and Analysis section describes the material elements of our executive compensation program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for fiscal 2026, including the NEOs as identified in the Summary Compensation Table and listed below:</w:t>
      </w:r>
    </w:p>
    <w:tbl>
      <w:tblPr>
        <w:tblW w:w="7258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011"/>
        <w:gridCol w:w="109"/>
        <w:gridCol w:w="1108"/>
        <w:gridCol w:w="109"/>
        <w:gridCol w:w="1621"/>
        <w:gridCol w:w="109"/>
        <w:gridCol w:w="2191"/>
      </w:tblGrid>
      <w:tr>
        <w:trPr/>
        <w:tc>
          <w:tcPr>
            <w:tcW w:w="201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0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2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1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1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648970" cy="648970"/>
                  <wp:effectExtent l="0" t="0" r="0" b="0"/>
                  <wp:docPr id="242" name="Image24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2" name="Image24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8970" cy="6489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242" w:name="i-242"/>
            <w:bookmarkEnd w:id="242"/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08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648970" cy="648970"/>
                  <wp:effectExtent l="0" t="0" r="0" b="0"/>
                  <wp:docPr id="243" name="Image243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3" name="Image243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8970" cy="6489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243" w:name="i-243"/>
            <w:bookmarkEnd w:id="243"/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2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648970" cy="648970"/>
                  <wp:effectExtent l="0" t="0" r="0" b="0"/>
                  <wp:docPr id="244" name="Image244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4" name="Image244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8970" cy="6489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244" w:name="i-244"/>
            <w:bookmarkEnd w:id="244"/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19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648970" cy="648970"/>
                  <wp:effectExtent l="0" t="0" r="0" b="0"/>
                  <wp:docPr id="245" name="Image245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5" name="Image245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8970" cy="6489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245" w:name="i-245"/>
            <w:bookmarkEnd w:id="245"/>
          </w:p>
        </w:tc>
      </w:tr>
      <w:tr>
        <w:trPr/>
        <w:tc>
          <w:tcPr>
            <w:tcW w:w="2011" w:type="dxa"/>
            <w:tcBorders/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7"/>
                <w:u w:val="none"/>
                <w:effect w:val="none"/>
              </w:rPr>
              <w:t>Strauss Zelnick</w:t>
            </w:r>
          </w:p>
          <w:p>
            <w:pPr>
              <w:pStyle w:val="TableContents"/>
              <w:bidi w:val="0"/>
              <w:spacing w:lineRule="atLeast" w:line="156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6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6"/>
              </w:rPr>
              <w:t>Executive Chairman</w:t>
            </w:r>
          </w:p>
          <w:p>
            <w:pPr>
              <w:pStyle w:val="TableContents"/>
              <w:bidi w:val="0"/>
              <w:spacing w:lineRule="atLeast" w:line="156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6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6"/>
              </w:rPr>
              <w:t>and Chief Executive Officer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08" w:type="dxa"/>
            <w:tcBorders/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7"/>
                <w:u w:val="none"/>
                <w:effect w:val="none"/>
              </w:rPr>
              <w:t>Karl Slatoff</w:t>
            </w:r>
          </w:p>
          <w:p>
            <w:pPr>
              <w:pStyle w:val="TableContents"/>
              <w:bidi w:val="0"/>
              <w:spacing w:lineRule="atLeast" w:line="156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6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6"/>
              </w:rPr>
              <w:t>President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21" w:type="dxa"/>
            <w:tcBorders/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7"/>
                <w:u w:val="none"/>
                <w:effect w:val="none"/>
              </w:rPr>
              <w:t>Lainie Goldstein</w:t>
            </w:r>
          </w:p>
          <w:p>
            <w:pPr>
              <w:pStyle w:val="TableContents"/>
              <w:bidi w:val="0"/>
              <w:spacing w:lineRule="atLeast" w:line="156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6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6"/>
              </w:rPr>
              <w:t>Chief Financial Officer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191" w:type="dxa"/>
            <w:tcBorders/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7"/>
                <w:u w:val="none"/>
                <w:effect w:val="none"/>
              </w:rPr>
              <w:t>Daniel Emerson</w:t>
            </w:r>
          </w:p>
          <w:p>
            <w:pPr>
              <w:pStyle w:val="TableContents"/>
              <w:bidi w:val="0"/>
              <w:spacing w:lineRule="atLeast" w:line="156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6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6"/>
              </w:rPr>
              <w:t>Executive Vice President and</w:t>
            </w:r>
          </w:p>
          <w:p>
            <w:pPr>
              <w:pStyle w:val="TableContents"/>
              <w:bidi w:val="0"/>
              <w:spacing w:lineRule="atLeast" w:line="156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6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6"/>
              </w:rPr>
              <w:t>Chief Legal Officer</w:t>
            </w:r>
          </w:p>
        </w:tc>
      </w:tr>
    </w:tbl>
    <w:tbl>
      <w:tblPr>
        <w:tblW w:w="6789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4"/>
        <w:gridCol w:w="6511"/>
        <w:gridCol w:w="154"/>
      </w:tblGrid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51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/>
            <w:shd w:fill="64BFA6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511" w:type="dxa"/>
            <w:tcBorders/>
            <w:shd w:fill="64BFA6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shd w:fill="64BFA6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/>
            <w:shd w:fill="64BFA6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511" w:type="dxa"/>
            <w:tcBorders/>
            <w:shd w:fill="64BFA6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  <w:t xml:space="preserve">Messrs. Zelnick and Slatoff serve in their executive positions pursuant to a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8"/>
                <w:u w:val="none"/>
                <w:effect w:val="none"/>
              </w:rPr>
              <w:t>management agreement with ZMC, discussed below.</w:t>
            </w:r>
          </w:p>
        </w:tc>
        <w:tc>
          <w:tcPr>
            <w:tcW w:w="154" w:type="dxa"/>
            <w:tcBorders/>
            <w:shd w:fill="64BFA6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/>
            <w:shd w:fill="64BFA6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511" w:type="dxa"/>
            <w:tcBorders/>
            <w:shd w:fill="64BFA6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shd w:fill="64BFA6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8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28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28"/>
          <w:u w:val="none"/>
          <w:effect w:val="none"/>
        </w:rPr>
        <w:t>Executive Summary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Take-Two is a leading developer, publisher and marketer of interactive entertainment for consumers around the globe.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We develop and publish products principally through Rockstar Games, 2K and Zynga.</w:t>
      </w:r>
    </w:p>
    <w:tbl>
      <w:tblPr>
        <w:tblW w:w="945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4"/>
        <w:gridCol w:w="1104"/>
        <w:gridCol w:w="109"/>
        <w:gridCol w:w="1696"/>
        <w:gridCol w:w="109"/>
        <w:gridCol w:w="109"/>
        <w:gridCol w:w="109"/>
        <w:gridCol w:w="1148"/>
        <w:gridCol w:w="109"/>
        <w:gridCol w:w="1696"/>
        <w:gridCol w:w="109"/>
        <w:gridCol w:w="109"/>
        <w:gridCol w:w="109"/>
        <w:gridCol w:w="903"/>
        <w:gridCol w:w="109"/>
        <w:gridCol w:w="1651"/>
        <w:gridCol w:w="154"/>
      </w:tblGrid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0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4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/>
            <w:shd w:fill="F3F3F3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04" w:type="dxa"/>
            <w:tcBorders/>
            <w:shd w:fill="F3F3F3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3F3F3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96" w:type="dxa"/>
            <w:tcBorders/>
            <w:shd w:fill="F3F3F3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3F3F3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3F3F3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48" w:type="dxa"/>
            <w:tcBorders/>
            <w:shd w:fill="F3F3F3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3F3F3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96" w:type="dxa"/>
            <w:tcBorders/>
            <w:shd w:fill="F3F3F3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3F3F3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3F3F3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3" w:type="dxa"/>
            <w:tcBorders/>
            <w:shd w:fill="F3F3F3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3F3F3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51" w:type="dxa"/>
            <w:tcBorders/>
            <w:shd w:fill="F3F3F3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shd w:fill="F3F3F3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/>
            <w:shd w:fill="F3F3F3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04" w:type="dxa"/>
            <w:vMerge w:val="restart"/>
            <w:tcBorders/>
            <w:shd w:fill="F3F3F3" w:val="clear"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F3F3F3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F3F3F3"/>
                <w:u w:val="none"/>
                <w:effect w:val="none"/>
              </w:rPr>
              <w:t> 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646430" cy="594360"/>
                  <wp:effectExtent l="0" t="0" r="0" b="0"/>
                  <wp:docPr id="246" name="Image246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6" name="Image246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6430" cy="5943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246" w:name="i-246"/>
            <w:bookmarkEnd w:id="246"/>
          </w:p>
        </w:tc>
        <w:tc>
          <w:tcPr>
            <w:tcW w:w="109" w:type="dxa"/>
            <w:tcBorders/>
            <w:shd w:fill="F3F3F3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96" w:type="dxa"/>
            <w:tcBorders/>
            <w:shd w:fill="F3F3F3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8"/>
                <w:u w:val="none"/>
                <w:effect w:val="none"/>
              </w:rPr>
              <w:t xml:space="preserve">Top Titles Include: </w:t>
            </w:r>
          </w:p>
        </w:tc>
        <w:tc>
          <w:tcPr>
            <w:tcW w:w="109" w:type="dxa"/>
            <w:tcBorders/>
            <w:shd w:fill="F3F3F3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3F3F3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48" w:type="dxa"/>
            <w:vMerge w:val="restart"/>
            <w:tcBorders/>
            <w:shd w:fill="F3F3F3" w:val="clear"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674370" cy="438785"/>
                  <wp:effectExtent l="0" t="0" r="0" b="0"/>
                  <wp:docPr id="247" name="Image247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7" name="Image247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4370" cy="4387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247" w:name="i-247"/>
            <w:bookmarkEnd w:id="247"/>
          </w:p>
        </w:tc>
        <w:tc>
          <w:tcPr>
            <w:tcW w:w="109" w:type="dxa"/>
            <w:tcBorders/>
            <w:shd w:fill="F3F3F3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96" w:type="dxa"/>
            <w:tcBorders/>
            <w:shd w:fill="F3F3F3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8"/>
                <w:u w:val="none"/>
                <w:effect w:val="none"/>
              </w:rPr>
              <w:t xml:space="preserve">Top Titles Include: </w:t>
            </w:r>
          </w:p>
        </w:tc>
        <w:tc>
          <w:tcPr>
            <w:tcW w:w="109" w:type="dxa"/>
            <w:tcBorders/>
            <w:shd w:fill="F3F3F3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3F3F3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3" w:type="dxa"/>
            <w:vMerge w:val="restart"/>
            <w:tcBorders/>
            <w:shd w:fill="F3F3F3" w:val="clear"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518795" cy="475615"/>
                  <wp:effectExtent l="0" t="0" r="0" b="0"/>
                  <wp:docPr id="248" name="Image248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8" name="Image248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8795" cy="4756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248" w:name="i-248"/>
            <w:bookmarkEnd w:id="248"/>
          </w:p>
        </w:tc>
        <w:tc>
          <w:tcPr>
            <w:tcW w:w="109" w:type="dxa"/>
            <w:tcBorders/>
            <w:shd w:fill="F3F3F3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51" w:type="dxa"/>
            <w:tcBorders/>
            <w:shd w:fill="F3F3F3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8"/>
                <w:u w:val="none"/>
                <w:effect w:val="none"/>
              </w:rPr>
              <w:t>Top Titles Include:</w:t>
            </w:r>
          </w:p>
        </w:tc>
        <w:tc>
          <w:tcPr>
            <w:tcW w:w="154" w:type="dxa"/>
            <w:tcBorders/>
            <w:shd w:fill="F3F3F3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/>
            <w:shd w:fill="F3F3F3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04" w:type="dxa"/>
            <w:vMerge w:val="continue"/>
            <w:tcBorders/>
            <w:shd w:fill="F3F3F3" w:val="clear"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9" w:type="dxa"/>
            <w:tcBorders/>
            <w:shd w:fill="F3F3F3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96" w:type="dxa"/>
            <w:tcBorders/>
            <w:shd w:fill="F3F3F3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3F3F3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3F3F3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48" w:type="dxa"/>
            <w:vMerge w:val="continue"/>
            <w:tcBorders/>
            <w:shd w:fill="F3F3F3" w:val="clear"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9" w:type="dxa"/>
            <w:tcBorders/>
            <w:shd w:fill="F3F3F3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96" w:type="dxa"/>
            <w:tcBorders/>
            <w:shd w:fill="F3F3F3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3F3F3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3F3F3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3" w:type="dxa"/>
            <w:vMerge w:val="continue"/>
            <w:tcBorders/>
            <w:shd w:fill="F3F3F3" w:val="clear"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9" w:type="dxa"/>
            <w:tcBorders/>
            <w:shd w:fill="F3F3F3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51" w:type="dxa"/>
            <w:tcBorders/>
            <w:shd w:fill="F3F3F3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shd w:fill="F3F3F3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/>
            <w:shd w:fill="F3F3F3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04" w:type="dxa"/>
            <w:vMerge w:val="continue"/>
            <w:tcBorders/>
            <w:shd w:fill="F3F3F3" w:val="clear"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9" w:type="dxa"/>
            <w:tcBorders/>
            <w:shd w:fill="F3F3F3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96" w:type="dxa"/>
            <w:tcBorders/>
            <w:shd w:fill="F3F3F3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18333C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7"/>
                <w:u w:val="none"/>
                <w:effect w:val="none"/>
              </w:rPr>
              <w:t xml:space="preserve">Grand Theft Auto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18333C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7"/>
                <w:u w:val="none"/>
                <w:effect w:val="none"/>
              </w:rPr>
              <w:t xml:space="preserve">Red Dead </w:t>
            </w:r>
          </w:p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7"/>
                <w:u w:val="none"/>
                <w:effect w:val="none"/>
              </w:rPr>
              <w:t>Redemption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18333C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7"/>
                <w:u w:val="none"/>
                <w:effect w:val="none"/>
              </w:rPr>
              <w:t xml:space="preserve">L.A. Noire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18333C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7"/>
                <w:u w:val="none"/>
                <w:effect w:val="none"/>
              </w:rPr>
              <w:t xml:space="preserve">Max Payne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18333C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7"/>
                <w:u w:val="none"/>
                <w:effect w:val="none"/>
              </w:rPr>
              <w:t xml:space="preserve">Midnight Club </w:t>
            </w:r>
          </w:p>
        </w:tc>
        <w:tc>
          <w:tcPr>
            <w:tcW w:w="109" w:type="dxa"/>
            <w:tcBorders/>
            <w:shd w:fill="F3F3F3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3F3F3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48" w:type="dxa"/>
            <w:vMerge w:val="continue"/>
            <w:tcBorders/>
            <w:shd w:fill="F3F3F3" w:val="clear"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9" w:type="dxa"/>
            <w:tcBorders/>
            <w:shd w:fill="F3F3F3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96" w:type="dxa"/>
            <w:tcBorders/>
            <w:shd w:fill="F3F3F3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18333C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7"/>
                <w:u w:val="none"/>
                <w:effect w:val="none"/>
              </w:rPr>
              <w:t xml:space="preserve">NBA 2K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18333C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7"/>
                <w:u w:val="none"/>
                <w:effect w:val="none"/>
              </w:rPr>
              <w:t xml:space="preserve">Borderlands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18333C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7"/>
                <w:u w:val="none"/>
                <w:effect w:val="none"/>
              </w:rPr>
              <w:t xml:space="preserve">PGA TOUR 2K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18333C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7"/>
                <w:u w:val="none"/>
                <w:effect w:val="none"/>
              </w:rPr>
              <w:t xml:space="preserve">BioShock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18333C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7"/>
                <w:u w:val="none"/>
                <w:effect w:val="none"/>
              </w:rPr>
              <w:t xml:space="preserve">Mafia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18333C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7"/>
                <w:u w:val="none"/>
                <w:effect w:val="none"/>
              </w:rPr>
              <w:t xml:space="preserve">Sid Meier’s </w:t>
            </w:r>
          </w:p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7"/>
                <w:u w:val="none"/>
                <w:effect w:val="none"/>
              </w:rPr>
              <w:t xml:space="preserve">Civilization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18333C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7"/>
                <w:u w:val="none"/>
                <w:effect w:val="none"/>
              </w:rPr>
              <w:t xml:space="preserve">WWE 2K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18333C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7"/>
                <w:u w:val="none"/>
                <w:effect w:val="none"/>
              </w:rPr>
              <w:t xml:space="preserve">XCOM </w:t>
            </w:r>
          </w:p>
        </w:tc>
        <w:tc>
          <w:tcPr>
            <w:tcW w:w="109" w:type="dxa"/>
            <w:tcBorders/>
            <w:shd w:fill="F3F3F3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3F3F3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3" w:type="dxa"/>
            <w:vMerge w:val="continue"/>
            <w:tcBorders/>
            <w:shd w:fill="F3F3F3" w:val="clear"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9" w:type="dxa"/>
            <w:tcBorders/>
            <w:shd w:fill="F3F3F3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51" w:type="dxa"/>
            <w:tcBorders/>
            <w:shd w:fill="F3F3F3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18333C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7"/>
                <w:u w:val="none"/>
                <w:effect w:val="none"/>
              </w:rPr>
              <w:t xml:space="preserve">Match Factory!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18333C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7"/>
                <w:u w:val="none"/>
                <w:effect w:val="none"/>
              </w:rPr>
              <w:t xml:space="preserve">Toon Blast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18333C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7"/>
                <w:u w:val="none"/>
                <w:effect w:val="none"/>
              </w:rPr>
              <w:t xml:space="preserve">CSR2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18333C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7"/>
                <w:u w:val="none"/>
                <w:effect w:val="none"/>
              </w:rPr>
              <w:t>Merge Dragons!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18333C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7"/>
                <w:u w:val="none"/>
                <w:effect w:val="none"/>
              </w:rPr>
              <w:t>Color Block Jam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18333C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7"/>
                <w:u w:val="none"/>
                <w:effect w:val="none"/>
              </w:rPr>
              <w:t xml:space="preserve">Words With </w:t>
            </w:r>
          </w:p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7"/>
                <w:u w:val="none"/>
                <w:effect w:val="none"/>
              </w:rPr>
              <w:t xml:space="preserve">Friends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18333C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7"/>
                <w:u w:val="none"/>
                <w:effect w:val="none"/>
              </w:rPr>
              <w:t xml:space="preserve">Top Eleven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18333C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7"/>
                <w:u w:val="none"/>
                <w:effect w:val="none"/>
              </w:rPr>
              <w:t xml:space="preserve">Empires &amp; </w:t>
            </w:r>
          </w:p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7"/>
                <w:u w:val="none"/>
                <w:effect w:val="none"/>
              </w:rPr>
              <w:t xml:space="preserve">Puzzles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18333C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7"/>
                <w:u w:val="none"/>
                <w:effect w:val="none"/>
              </w:rPr>
              <w:t xml:space="preserve">Zynga Poker </w:t>
            </w:r>
          </w:p>
        </w:tc>
        <w:tc>
          <w:tcPr>
            <w:tcW w:w="154" w:type="dxa"/>
            <w:tcBorders/>
            <w:shd w:fill="F3F3F3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/>
            <w:shd w:fill="F3F3F3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04" w:type="dxa"/>
            <w:tcBorders/>
            <w:shd w:fill="F3F3F3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3F3F3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96" w:type="dxa"/>
            <w:tcBorders/>
            <w:shd w:fill="F3F3F3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3F3F3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3F3F3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48" w:type="dxa"/>
            <w:tcBorders/>
            <w:shd w:fill="F3F3F3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3F3F3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96" w:type="dxa"/>
            <w:tcBorders/>
            <w:shd w:fill="F3F3F3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3F3F3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3F3F3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3" w:type="dxa"/>
            <w:tcBorders/>
            <w:shd w:fill="F3F3F3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F3F3F3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51" w:type="dxa"/>
            <w:tcBorders/>
            <w:shd w:fill="F3F3F3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shd w:fill="F3F3F3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4982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4651"/>
        <w:gridCol w:w="331"/>
      </w:tblGrid>
      <w:tr>
        <w:trPr/>
        <w:tc>
          <w:tcPr>
            <w:tcW w:w="46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651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sz w:val="24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TAKE-TWO INTERACTIVE SOFTWARE, INC.   |   2026</w:t>
            </w:r>
            <w:r>
              <w:rPr>
                <w:caps w:val="false"/>
                <w:smallCaps w:val="false"/>
                <w:strike w:val="false"/>
                <w:dstrike w:val="false"/>
                <w:color w:val="18333C"/>
                <w:sz w:val="24"/>
                <w:u w:val="none"/>
                <w:effect w:val="none"/>
              </w:rPr>
              <w:t xml:space="preserve"> 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 xml:space="preserve">Proxy Statement </w:t>
            </w:r>
          </w:p>
        </w:tc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27</w:t>
            </w:r>
          </w:p>
        </w:tc>
      </w:tr>
    </w:tbl>
    <w:p>
      <w:pPr>
        <w:pStyle w:val="TextBody"/>
        <w:bidi w:val="0"/>
        <w:spacing w:lineRule="atLeast" w:line="142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3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3"/>
          <w:u w:val="none"/>
          <w:effect w:val="none"/>
        </w:rPr>
        <w:t>COMPENSATION DISCUSSION AND ANALYSIS</w:t>
      </w:r>
    </w:p>
    <w:p>
      <w:pPr>
        <w:pStyle w:val="TextBody"/>
        <w:bidi w:val="0"/>
        <w:spacing w:lineRule="atLeast" w:line="142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2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2"/>
          <w:u w:val="none"/>
          <w:effect w:val="none"/>
        </w:rPr>
        <w:t>EXECUTIVE SUMMARY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Our strategy is to create hit entertainment experiences, delivered on every platform relevant to our audience through a variety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of sound business models. Our pillars - creativity, innovation, and efficiency - guide us as we strive to create the highest quality,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most captivating experiences for our consumers. We believe that our player-first approach and commitment to creativity and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innovation are distinguishing strengths, enabling us to differentiate our products in the marketplace by combining advanced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technology with compelling gameplay that provide unique, deeply engaging experiences. Our teams have established a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portfolio of proprietary software content for the major hardware and mobile platforms, and we aim to be at the forefront of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technological innovation. We have a diverse portfolio that spans all key platforms and numerous genres, including action,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adventure, family, casual, hyper-casual, role-playing, shooter, social casino, sports, and strategy. This enables us to appeal to a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wide array of consumers worldwide, ranging from game enthusiasts to casual gamers. Most of our intellectual property is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internally owned and developed, which we believe best positions us financially and competitively. In addition, we license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selectively some highly recognizable renowned brands, particularly in sports entertainment. We support our products with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innovative marketing programs created by our global teams.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Our management team and creative talent at Rockstar Games, 2K, and Zynga are essential to building and maintaining the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strongest portfolio of Intellectual Property (“IP”) in the industry. Our compensation program is designed to reflect the importance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of our creative talent, including through the use of equity awards to establish strong links between our creative teams and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long-term value creation for shareholders.</w:t>
      </w:r>
    </w:p>
    <w:p>
      <w:pPr>
        <w:pStyle w:val="TextBody"/>
        <w:bidi w:val="0"/>
        <w:spacing w:lineRule="atLeast" w:line="240" w:before="0" w:after="0"/>
        <w:jc w:val="left"/>
        <w:rPr>
          <w:sz w:val="24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24"/>
          <w:u w:val="none"/>
          <w:effect w:val="none"/>
        </w:rPr>
        <w:t>Select Fiscal 2026</w:t>
      </w:r>
      <w:r>
        <w:rPr>
          <w:caps w:val="false"/>
          <w:smallCaps w:val="false"/>
          <w:strike w:val="false"/>
          <w:dstrike w:val="false"/>
          <w:color w:val="18333C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24"/>
          <w:u w:val="none"/>
          <w:effect w:val="none"/>
        </w:rPr>
        <w:t>Performance Highlights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The Company delivered strong financial results in fiscal 2026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and continued to execute successfully on our strategy to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capitalize on the popularity of video games by developing and publishing high-quality interactive entertainment experiences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across a range of genres.</w:t>
      </w:r>
    </w:p>
    <w:tbl>
      <w:tblPr>
        <w:tblW w:w="9810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296"/>
        <w:gridCol w:w="518"/>
        <w:gridCol w:w="1171"/>
        <w:gridCol w:w="796"/>
        <w:gridCol w:w="109"/>
        <w:gridCol w:w="109"/>
        <w:gridCol w:w="2281"/>
        <w:gridCol w:w="518"/>
        <w:gridCol w:w="1171"/>
        <w:gridCol w:w="841"/>
      </w:tblGrid>
      <w:tr>
        <w:trPr/>
        <w:tc>
          <w:tcPr>
            <w:tcW w:w="22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1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28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1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96" w:type="dxa"/>
            <w:tcBorders/>
            <w:shd w:fill="64BFA6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18" w:type="dxa"/>
            <w:tcBorders/>
            <w:shd w:fill="64BFA6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1" w:type="dxa"/>
            <w:tcBorders/>
            <w:shd w:fill="64BFA6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6" w:type="dxa"/>
            <w:tcBorders/>
            <w:shd w:fill="64BFA6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64BFA6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64BFA6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281" w:type="dxa"/>
            <w:tcBorders/>
            <w:shd w:fill="64BFA6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18" w:type="dxa"/>
            <w:tcBorders/>
            <w:shd w:fill="64BFA6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1" w:type="dxa"/>
            <w:tcBorders/>
            <w:shd w:fill="64BFA6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1" w:type="dxa"/>
            <w:tcBorders/>
            <w:shd w:fill="64BFA6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10" w:type="dxa"/>
            <w:gridSpan w:val="10"/>
            <w:tcBorders/>
            <w:shd w:fill="64BFA6" w:val="clear"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sz w:val="24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20"/>
                <w:u w:val="none"/>
                <w:effect w:val="none"/>
              </w:rPr>
              <w:t>Fiscal 2026</w:t>
            </w:r>
            <w:r>
              <w:rPr>
                <w:caps w:val="false"/>
                <w:smallCaps w:val="false"/>
                <w:strike w:val="false"/>
                <w:dstrike w:val="false"/>
                <w:color w:val="FFFFFF"/>
                <w:sz w:val="24"/>
                <w:u w:val="none"/>
                <w:effect w:val="none"/>
              </w:rPr>
              <w:t xml:space="preserve"> 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20"/>
                <w:u w:val="none"/>
                <w:effect w:val="none"/>
              </w:rPr>
              <w:t>Financial and Operating Results</w:t>
            </w:r>
          </w:p>
        </w:tc>
      </w:tr>
      <w:tr>
        <w:trPr/>
        <w:tc>
          <w:tcPr>
            <w:tcW w:w="2296" w:type="dxa"/>
            <w:tcBorders/>
            <w:shd w:fill="64BFA6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18" w:type="dxa"/>
            <w:tcBorders/>
            <w:shd w:fill="64BFA6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1" w:type="dxa"/>
            <w:tcBorders/>
            <w:shd w:fill="64BFA6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6" w:type="dxa"/>
            <w:tcBorders/>
            <w:shd w:fill="64BFA6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64BFA6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64BFA6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281" w:type="dxa"/>
            <w:tcBorders/>
            <w:shd w:fill="64BFA6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18" w:type="dxa"/>
            <w:tcBorders/>
            <w:shd w:fill="64BFA6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1" w:type="dxa"/>
            <w:tcBorders/>
            <w:shd w:fill="64BFA6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1" w:type="dxa"/>
            <w:tcBorders/>
            <w:shd w:fill="64BFA6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1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28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1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781" w:type="dxa"/>
            <w:gridSpan w:val="4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z w:val="16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z w:val="16"/>
              </w:rPr>
              <w:t>Net Revenue</w:t>
            </w:r>
          </w:p>
          <w:p>
            <w:pPr>
              <w:pStyle w:val="TableContents"/>
              <w:bidi w:val="0"/>
              <w:spacing w:lineRule="atLeast" w:line="400" w:before="0" w:after="0"/>
              <w:jc w:val="left"/>
              <w:rPr>
                <w:sz w:val="40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64BFA6"/>
                <w:sz w:val="40"/>
                <w:u w:val="none"/>
                <w:effect w:val="none"/>
              </w:rPr>
              <w:t>$6.66</w:t>
            </w:r>
            <w:r>
              <w:rPr>
                <w:caps w:val="false"/>
                <w:smallCaps w:val="false"/>
                <w:strike w:val="false"/>
                <w:dstrike w:val="false"/>
                <w:color w:val="64BFA6"/>
                <w:sz w:val="40"/>
                <w:u w:val="none"/>
                <w:effect w:val="none"/>
              </w:rPr>
              <w:t xml:space="preserve"> 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64BFA6"/>
                <w:sz w:val="40"/>
                <w:u w:val="none"/>
                <w:effect w:val="none"/>
              </w:rPr>
              <w:t>Billion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811" w:type="dxa"/>
            <w:gridSpan w:val="4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z w:val="16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z w:val="16"/>
              </w:rPr>
              <w:t>Net Bookings (operating metric)</w:t>
            </w:r>
          </w:p>
          <w:p>
            <w:pPr>
              <w:pStyle w:val="TableContents"/>
              <w:bidi w:val="0"/>
              <w:spacing w:lineRule="atLeast" w:line="400" w:before="0" w:after="0"/>
              <w:jc w:val="left"/>
              <w:rPr>
                <w:sz w:val="40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B0295B"/>
                <w:sz w:val="40"/>
                <w:u w:val="none"/>
                <w:effect w:val="none"/>
              </w:rPr>
              <w:t>$6.72</w:t>
            </w:r>
            <w:r>
              <w:rPr>
                <w:caps w:val="false"/>
                <w:smallCaps w:val="false"/>
                <w:strike w:val="false"/>
                <w:dstrike w:val="false"/>
                <w:color w:val="B0295B"/>
                <w:sz w:val="40"/>
                <w:u w:val="none"/>
                <w:effect w:val="none"/>
              </w:rPr>
              <w:t xml:space="preserve"> 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B0295B"/>
                <w:sz w:val="40"/>
                <w:u w:val="none"/>
                <w:effect w:val="none"/>
              </w:rPr>
              <w:t>Billion</w:t>
            </w:r>
          </w:p>
        </w:tc>
      </w:tr>
      <w:tr>
        <w:trPr/>
        <w:tc>
          <w:tcPr>
            <w:tcW w:w="22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1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28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1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1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28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1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781" w:type="dxa"/>
            <w:gridSpan w:val="4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Net Revenue by Platform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28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1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9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7DC6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7DC6"/>
                <w:sz w:val="16"/>
                <w:u w:val="none"/>
                <w:effect w:val="none"/>
              </w:rPr>
              <w:t>Console, PC and Other</w:t>
            </w:r>
          </w:p>
        </w:tc>
        <w:tc>
          <w:tcPr>
            <w:tcW w:w="51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28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1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96" w:type="dxa"/>
            <w:tcBorders/>
            <w:vAlign w:val="center"/>
          </w:tcPr>
          <w:p>
            <w:pPr>
              <w:pStyle w:val="TableContents"/>
              <w:bidi w:val="0"/>
              <w:spacing w:lineRule="atLeast" w:line="380" w:before="0" w:after="0"/>
              <w:jc w:val="left"/>
              <w:rPr>
                <w:sz w:val="38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7DC6"/>
                <w:sz w:val="38"/>
                <w:u w:val="none"/>
                <w:effect w:val="none"/>
              </w:rPr>
              <w:t>$3.32</w:t>
            </w:r>
            <w:r>
              <w:rPr>
                <w:caps w:val="false"/>
                <w:smallCaps w:val="false"/>
                <w:strike w:val="false"/>
                <w:dstrike w:val="false"/>
                <w:color w:val="007DC6"/>
                <w:sz w:val="38"/>
                <w:u w:val="none"/>
                <w:effect w:val="none"/>
              </w:rPr>
              <w:t xml:space="preserve"> 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7DC6"/>
                <w:sz w:val="38"/>
                <w:u w:val="none"/>
                <w:effect w:val="none"/>
              </w:rPr>
              <w:t>Billion</w:t>
            </w:r>
          </w:p>
        </w:tc>
        <w:tc>
          <w:tcPr>
            <w:tcW w:w="518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274320" cy="149225"/>
                  <wp:effectExtent l="0" t="0" r="0" b="0"/>
                  <wp:docPr id="249" name="Image249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9" name="Image249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4320" cy="1492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249" w:name="i-249"/>
            <w:bookmarkEnd w:id="249"/>
          </w:p>
        </w:tc>
        <w:tc>
          <w:tcPr>
            <w:tcW w:w="1171" w:type="dxa"/>
            <w:tcBorders/>
            <w:vAlign w:val="center"/>
          </w:tcPr>
          <w:p>
            <w:pPr>
              <w:pStyle w:val="TableContents"/>
              <w:bidi w:val="0"/>
              <w:spacing w:lineRule="atLeast" w:line="38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7DC6"/>
                <w:sz w:val="38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7DC6"/>
                <w:sz w:val="38"/>
                <w:u w:val="none"/>
                <w:effect w:val="none"/>
              </w:rPr>
              <w:t>49.9%</w:t>
            </w:r>
          </w:p>
        </w:tc>
        <w:tc>
          <w:tcPr>
            <w:tcW w:w="79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7DC6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7DC6"/>
                <w:sz w:val="16"/>
                <w:u w:val="none"/>
                <w:effect w:val="none"/>
              </w:rPr>
              <w:t>of Net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7DC6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7DC6"/>
                <w:sz w:val="16"/>
                <w:u w:val="none"/>
                <w:effect w:val="none"/>
              </w:rPr>
              <w:t>Revenue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811" w:type="dxa"/>
            <w:gridSpan w:val="4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z w:val="16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z w:val="16"/>
              </w:rPr>
              <w:t>Recurrent Consumer Spending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/>
                <w:sz w:val="16"/>
              </w:rPr>
            </w:pPr>
            <w:r>
              <w:rPr>
                <w:rFonts w:ascii="Arial;sans-serif" w:hAnsi="Arial;sans-serif"/>
                <w:b w:val="false"/>
                <w:i/>
                <w:sz w:val="16"/>
              </w:rPr>
              <w:t>(virtual currency, add-on content, and in-game purchases)</w:t>
            </w:r>
          </w:p>
        </w:tc>
      </w:tr>
      <w:tr>
        <w:trPr/>
        <w:tc>
          <w:tcPr>
            <w:tcW w:w="229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03A38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03A38"/>
                <w:sz w:val="16"/>
                <w:u w:val="none"/>
                <w:effect w:val="none"/>
              </w:rPr>
              <w:t>Mobile</w:t>
            </w:r>
          </w:p>
        </w:tc>
        <w:tc>
          <w:tcPr>
            <w:tcW w:w="51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281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lineRule="atLeast" w:line="380" w:before="0" w:after="0"/>
              <w:jc w:val="left"/>
              <w:rPr>
                <w:sz w:val="38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03A38"/>
                <w:sz w:val="38"/>
                <w:u w:val="none"/>
                <w:effect w:val="none"/>
              </w:rPr>
              <w:t>$5.20</w:t>
            </w:r>
            <w:r>
              <w:rPr>
                <w:caps w:val="false"/>
                <w:smallCaps w:val="false"/>
                <w:strike w:val="false"/>
                <w:dstrike w:val="false"/>
                <w:color w:val="103A38"/>
                <w:sz w:val="38"/>
                <w:u w:val="none"/>
                <w:effect w:val="none"/>
              </w:rPr>
              <w:t xml:space="preserve"> 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03A38"/>
                <w:sz w:val="38"/>
                <w:u w:val="none"/>
                <w:effect w:val="none"/>
              </w:rPr>
              <w:t>Billion</w:t>
            </w:r>
          </w:p>
        </w:tc>
        <w:tc>
          <w:tcPr>
            <w:tcW w:w="518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274320" cy="148590"/>
                  <wp:effectExtent l="0" t="0" r="0" b="0"/>
                  <wp:docPr id="250" name="Image250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0" name="Image250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4320" cy="1485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250" w:name="i-250"/>
            <w:bookmarkEnd w:id="250"/>
          </w:p>
        </w:tc>
        <w:tc>
          <w:tcPr>
            <w:tcW w:w="1171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lineRule="atLeast" w:line="38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03A38"/>
                <w:sz w:val="38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03A38"/>
                <w:sz w:val="38"/>
                <w:u w:val="none"/>
                <w:effect w:val="none"/>
              </w:rPr>
              <w:t>78.1%</w:t>
            </w:r>
          </w:p>
        </w:tc>
        <w:tc>
          <w:tcPr>
            <w:tcW w:w="841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03A38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03A38"/>
                <w:sz w:val="16"/>
                <w:u w:val="none"/>
                <w:effect w:val="none"/>
              </w:rPr>
              <w:t>of Net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03A38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03A38"/>
                <w:sz w:val="16"/>
                <w:u w:val="none"/>
                <w:effect w:val="none"/>
              </w:rPr>
              <w:t>Revenue</w:t>
            </w:r>
          </w:p>
        </w:tc>
      </w:tr>
      <w:tr>
        <w:trPr/>
        <w:tc>
          <w:tcPr>
            <w:tcW w:w="2296" w:type="dxa"/>
            <w:tcBorders/>
            <w:vAlign w:val="center"/>
          </w:tcPr>
          <w:p>
            <w:pPr>
              <w:pStyle w:val="TableContents"/>
              <w:bidi w:val="0"/>
              <w:spacing w:lineRule="atLeast" w:line="380" w:before="0" w:after="0"/>
              <w:jc w:val="left"/>
              <w:rPr>
                <w:sz w:val="38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81C31"/>
                <w:sz w:val="38"/>
                <w:u w:val="none"/>
                <w:effect w:val="none"/>
              </w:rPr>
              <w:t>$3.33</w:t>
            </w:r>
            <w:r>
              <w:rPr>
                <w:caps w:val="false"/>
                <w:smallCaps w:val="false"/>
                <w:strike w:val="false"/>
                <w:dstrike w:val="false"/>
                <w:color w:val="081C31"/>
                <w:sz w:val="38"/>
                <w:u w:val="none"/>
                <w:effect w:val="none"/>
              </w:rPr>
              <w:t xml:space="preserve"> 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81C31"/>
                <w:sz w:val="38"/>
                <w:u w:val="none"/>
                <w:effect w:val="none"/>
              </w:rPr>
              <w:t>Billion</w:t>
            </w:r>
          </w:p>
        </w:tc>
        <w:tc>
          <w:tcPr>
            <w:tcW w:w="518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274320" cy="149225"/>
                  <wp:effectExtent l="0" t="0" r="0" b="0"/>
                  <wp:docPr id="251" name="Image25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1" name="Image25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4320" cy="1492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251" w:name="i-251"/>
            <w:bookmarkEnd w:id="251"/>
          </w:p>
        </w:tc>
        <w:tc>
          <w:tcPr>
            <w:tcW w:w="1171" w:type="dxa"/>
            <w:tcBorders/>
            <w:vAlign w:val="center"/>
          </w:tcPr>
          <w:p>
            <w:pPr>
              <w:pStyle w:val="TableContents"/>
              <w:bidi w:val="0"/>
              <w:spacing w:lineRule="atLeast" w:line="38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81C31"/>
                <w:sz w:val="38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81C31"/>
                <w:sz w:val="38"/>
                <w:u w:val="none"/>
                <w:effect w:val="none"/>
              </w:rPr>
              <w:t>50.1%</w:t>
            </w:r>
          </w:p>
        </w:tc>
        <w:tc>
          <w:tcPr>
            <w:tcW w:w="79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81C31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81C31"/>
                <w:sz w:val="16"/>
                <w:u w:val="none"/>
                <w:effect w:val="none"/>
              </w:rPr>
              <w:t>of Net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81C31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81C31"/>
                <w:sz w:val="16"/>
                <w:u w:val="none"/>
                <w:effect w:val="none"/>
              </w:rPr>
              <w:t>Revenue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281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18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171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1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1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28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1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before="0" w:after="0"/>
        <w:jc w:val="left"/>
        <w:rPr>
          <w:shd w:fill="auto" w:val="clear"/>
        </w:rPr>
      </w:pPr>
      <w:r>
        <w:rPr>
          <w:shd w:fill="auto" w:val="clear"/>
        </w:rPr>
        <w:drawing>
          <wp:inline distT="0" distB="0" distL="0" distR="0">
            <wp:extent cx="6454140" cy="1895475"/>
            <wp:effectExtent l="0" t="0" r="0" b="0"/>
            <wp:docPr id="252" name="Image25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2" name="Image252" descr=""/>
                    <pic:cNvPicPr>
                      <a:picLocks noChangeAspect="1" noChangeArrowheads="1"/>
                    </pic:cNvPicPr>
                  </pic:nvPicPr>
                  <pic:blipFill>
                    <a:blip r:embed="rId25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54140" cy="1895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252" w:name="i-252"/>
      <w:bookmarkEnd w:id="252"/>
    </w:p>
    <w:p>
      <w:pPr>
        <w:pStyle w:val="TextBody"/>
        <w:bidi w:val="0"/>
        <w:spacing w:lineRule="atLeast" w:line="24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24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24"/>
          <w:u w:val="none"/>
          <w:effect w:val="none"/>
        </w:rPr>
        <w:t>Business Highlights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caps w:val="false"/>
          <w:smallCaps w:val="false"/>
          <w:strike w:val="false"/>
          <w:dstrike w:val="false"/>
          <w:color w:val="18333C"/>
          <w:u w:val="none"/>
          <w:effect w:val="non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We released successful hit titles, engaged players with a steady cadence of in-game content, and further strengthened our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organization for the long term. Highlights from the year include: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caps w:val="false"/>
          <w:smallCaps w:val="false"/>
          <w:strike w:val="false"/>
          <w:dstrike w:val="false"/>
          <w:color w:val="18333C"/>
          <w:u w:val="none"/>
          <w:effect w:val="none"/>
        </w:rPr>
        <w:t>–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 xml:space="preserve">The </w:t>
      </w:r>
      <w:r>
        <w:rPr>
          <w:rFonts w:ascii="Arial;sans-serif" w:hAnsi="Arial;sans-serif"/>
          <w:b w:val="false"/>
          <w:i/>
          <w:strike w:val="false"/>
          <w:dstrike w:val="false"/>
          <w:sz w:val="18"/>
          <w:u w:val="none"/>
          <w:effect w:val="none"/>
        </w:rPr>
        <w:t>Grand Theft Auto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series continued to outpace expectations significantly and demonstrated strong momentum leading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up to the planned launch of</w:t>
      </w:r>
      <w:r>
        <w:rPr>
          <w:strike w:val="false"/>
          <w:dstrike w:val="false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/>
          <w:strike w:val="false"/>
          <w:dstrike w:val="false"/>
          <w:sz w:val="18"/>
          <w:u w:val="none"/>
          <w:effect w:val="none"/>
        </w:rPr>
        <w:t xml:space="preserve">Grand Theft Auto VI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 xml:space="preserve">on November 19th. We had strong engagement driven by </w:t>
      </w:r>
      <w:r>
        <w:rPr>
          <w:rFonts w:ascii="Arial;sans-serif" w:hAnsi="Arial;sans-serif"/>
          <w:b w:val="false"/>
          <w:i/>
          <w:strike w:val="false"/>
          <w:dstrike w:val="false"/>
          <w:sz w:val="18"/>
          <w:u w:val="none"/>
          <w:effect w:val="none"/>
        </w:rPr>
        <w:t>A Safehouse in</w:t>
      </w:r>
      <w:r>
        <w:rPr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/>
          <w:strike w:val="false"/>
          <w:dstrike w:val="false"/>
          <w:sz w:val="18"/>
          <w:u w:val="none"/>
          <w:effect w:val="none"/>
        </w:rPr>
        <w:t>the Hills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–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 xml:space="preserve">one of the best-performing updates in its history. Sales of </w:t>
      </w:r>
      <w:r>
        <w:rPr>
          <w:rFonts w:ascii="Arial;sans-serif" w:hAnsi="Arial;sans-serif"/>
          <w:b w:val="false"/>
          <w:i/>
          <w:strike w:val="false"/>
          <w:dstrike w:val="false"/>
          <w:sz w:val="18"/>
          <w:u w:val="none"/>
          <w:effect w:val="none"/>
        </w:rPr>
        <w:t xml:space="preserve">Grand Theft Auto V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advanced further, with nearly 230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million units sold-in to-date. GTA+ also delivered significant growth year-over-year, driven by successful seasonal updates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 xml:space="preserve">and highly attractive monthly benefits, such as the inclusion of </w:t>
      </w:r>
      <w:r>
        <w:rPr>
          <w:rFonts w:ascii="Arial;sans-serif" w:hAnsi="Arial;sans-serif"/>
          <w:b w:val="false"/>
          <w:i/>
          <w:strike w:val="false"/>
          <w:dstrike w:val="false"/>
          <w:sz w:val="18"/>
          <w:u w:val="none"/>
          <w:effect w:val="none"/>
        </w:rPr>
        <w:t xml:space="preserve">NBA 2K26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in its games library.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caps w:val="false"/>
          <w:smallCaps w:val="false"/>
          <w:strike w:val="false"/>
          <w:dstrike w:val="false"/>
          <w:color w:val="18333C"/>
          <w:u w:val="none"/>
          <w:effect w:val="none"/>
        </w:rPr>
        <w:t>–</w:t>
      </w:r>
      <w:r>
        <w:rPr>
          <w:rFonts w:ascii="Arial;sans-serif" w:hAnsi="Arial;sans-serif"/>
          <w:b w:val="false"/>
          <w:i/>
          <w:strike w:val="false"/>
          <w:dstrike w:val="false"/>
          <w:sz w:val="18"/>
          <w:u w:val="none"/>
          <w:effect w:val="none"/>
        </w:rPr>
        <w:t>Red Dead Redemption 2 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remains a global favorite and has sold-in over 80 million units as of the end of fiscal 2026.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caps w:val="false"/>
          <w:smallCaps w:val="false"/>
          <w:strike w:val="false"/>
          <w:dstrike w:val="false"/>
          <w:color w:val="18333C"/>
          <w:u w:val="none"/>
          <w:effect w:val="none"/>
        </w:rPr>
        <w:t>–</w:t>
      </w:r>
      <w:r>
        <w:rPr>
          <w:rFonts w:ascii="Arial;sans-serif" w:hAnsi="Arial;sans-serif"/>
          <w:b w:val="false"/>
          <w:i/>
          <w:strike w:val="false"/>
          <w:dstrike w:val="false"/>
          <w:sz w:val="18"/>
          <w:u w:val="none"/>
          <w:effect w:val="none"/>
        </w:rPr>
        <w:t>NBA 2K26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 xml:space="preserve">expanded its audience with sell-in surpassing 10 million units, a 5% increase over </w:t>
      </w:r>
      <w:r>
        <w:rPr>
          <w:rFonts w:ascii="Arial;sans-serif" w:hAnsi="Arial;sans-serif"/>
          <w:b w:val="false"/>
          <w:i/>
          <w:strike w:val="false"/>
          <w:dstrike w:val="false"/>
          <w:sz w:val="18"/>
          <w:u w:val="none"/>
          <w:effect w:val="none"/>
        </w:rPr>
        <w:t>NBA 2K25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. Players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responded positively to new features and gameplay enhancements. We are also pleased with the performance of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 xml:space="preserve">franchise’s brand extensions, including </w:t>
      </w:r>
      <w:r>
        <w:rPr>
          <w:rFonts w:ascii="Arial;sans-serif" w:hAnsi="Arial;sans-serif"/>
          <w:b w:val="false"/>
          <w:i/>
          <w:strike w:val="false"/>
          <w:dstrike w:val="false"/>
          <w:sz w:val="18"/>
          <w:u w:val="none"/>
          <w:effect w:val="none"/>
        </w:rPr>
        <w:t>NBA 2K25 Arcade Edition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 xml:space="preserve">, </w:t>
      </w:r>
      <w:r>
        <w:rPr>
          <w:rFonts w:ascii="Arial;sans-serif" w:hAnsi="Arial;sans-serif"/>
          <w:b w:val="false"/>
          <w:i/>
          <w:strike w:val="false"/>
          <w:dstrike w:val="false"/>
          <w:sz w:val="18"/>
          <w:u w:val="none"/>
          <w:effect w:val="none"/>
        </w:rPr>
        <w:t>NBA 2K Online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 xml:space="preserve">in China, and </w:t>
      </w:r>
      <w:r>
        <w:rPr>
          <w:rFonts w:ascii="Arial;sans-serif" w:hAnsi="Arial;sans-serif"/>
          <w:b w:val="false"/>
          <w:i/>
          <w:strike w:val="false"/>
          <w:dstrike w:val="false"/>
          <w:sz w:val="18"/>
          <w:u w:val="none"/>
          <w:effect w:val="none"/>
        </w:rPr>
        <w:t xml:space="preserve">NBA 2K All-Stars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mobile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title.</w:t>
      </w:r>
    </w:p>
    <w:tbl>
      <w:tblPr>
        <w:tblW w:w="493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301"/>
        <w:gridCol w:w="4636"/>
      </w:tblGrid>
      <w:tr>
        <w:trPr/>
        <w:tc>
          <w:tcPr>
            <w:tcW w:w="30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0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28</w:t>
            </w:r>
          </w:p>
        </w:tc>
        <w:tc>
          <w:tcPr>
            <w:tcW w:w="4636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sz w:val="24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TAKE-TWO INTERACTIVE SOFTWARE, INC.   |   2026</w:t>
            </w:r>
            <w:r>
              <w:rPr>
                <w:caps w:val="false"/>
                <w:smallCaps w:val="false"/>
                <w:strike w:val="false"/>
                <w:dstrike w:val="false"/>
                <w:color w:val="18333C"/>
                <w:sz w:val="24"/>
                <w:u w:val="none"/>
                <w:effect w:val="none"/>
              </w:rPr>
              <w:t xml:space="preserve"> 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Proxy Statement</w:t>
            </w:r>
          </w:p>
        </w:tc>
      </w:tr>
    </w:tbl>
    <w:p>
      <w:pPr>
        <w:pStyle w:val="TextBody"/>
        <w:bidi w:val="0"/>
        <w:spacing w:lineRule="atLeast" w:line="142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3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3"/>
          <w:u w:val="none"/>
          <w:effect w:val="none"/>
        </w:rPr>
        <w:t>COMPENSATION DISCUSSION AND ANALYSIS</w:t>
      </w:r>
    </w:p>
    <w:p>
      <w:pPr>
        <w:pStyle w:val="TextBody"/>
        <w:bidi w:val="0"/>
        <w:spacing w:lineRule="atLeast" w:line="142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2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2"/>
          <w:u w:val="none"/>
          <w:effect w:val="none"/>
        </w:rPr>
        <w:t>EXECUTIVE SUMMARY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caps w:val="false"/>
          <w:smallCaps w:val="false"/>
          <w:strike w:val="false"/>
          <w:dstrike w:val="false"/>
          <w:color w:val="18333C"/>
          <w:u w:val="none"/>
          <w:effect w:val="none"/>
        </w:rPr>
        <w:t>–</w:t>
      </w:r>
      <w:r>
        <w:rPr>
          <w:rFonts w:ascii="Arial;sans-serif" w:hAnsi="Arial;sans-serif"/>
          <w:b w:val="false"/>
          <w:i/>
          <w:strike w:val="false"/>
          <w:dstrike w:val="false"/>
          <w:sz w:val="18"/>
          <w:u w:val="none"/>
          <w:effect w:val="none"/>
        </w:rPr>
        <w:t>WWE 2K26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was well received by critics and consumers alike. Fourth quarter engagement was excellent, with more than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 xml:space="preserve">85 million matches played – an increase of 7% compared to </w:t>
      </w:r>
      <w:r>
        <w:rPr>
          <w:rFonts w:ascii="Arial;sans-serif" w:hAnsi="Arial;sans-serif"/>
          <w:b w:val="false"/>
          <w:i/>
          <w:strike w:val="false"/>
          <w:dstrike w:val="false"/>
          <w:sz w:val="18"/>
          <w:u w:val="none"/>
          <w:effect w:val="none"/>
        </w:rPr>
        <w:t>WWE 2K25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.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caps w:val="false"/>
          <w:smallCaps w:val="false"/>
          <w:strike w:val="false"/>
          <w:dstrike w:val="false"/>
          <w:color w:val="18333C"/>
          <w:u w:val="none"/>
          <w:effect w:val="none"/>
        </w:rPr>
        <w:t>–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Zynga concluded fiscal 2026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with healthy performance, led by its multi-studio approach and excellence in Live Ops: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caps w:val="false"/>
          <w:smallCaps w:val="false"/>
          <w:strike w:val="false"/>
          <w:dstrike w:val="false"/>
          <w:color w:val="18333C"/>
          <w:u w:val="none"/>
          <w:effect w:val="non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Toon Blast posted significant growth again this year, as Peak introduced new events and features.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caps w:val="false"/>
          <w:smallCaps w:val="false"/>
          <w:strike w:val="false"/>
          <w:dstrike w:val="false"/>
          <w:color w:val="18333C"/>
          <w:u w:val="none"/>
          <w:effect w:val="non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Match Factory! delivered strong results, with players responding positively to its live service execution and a pipeline of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player-friendly features, including the collectible album.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caps w:val="false"/>
          <w:smallCaps w:val="false"/>
          <w:strike w:val="false"/>
          <w:dstrike w:val="false"/>
          <w:color w:val="18333C"/>
          <w:u w:val="none"/>
          <w:effect w:val="non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Color Block Jam became a top-five title within Zynga’s portfolio.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caps w:val="false"/>
          <w:smallCaps w:val="false"/>
          <w:strike w:val="false"/>
          <w:dstrike w:val="false"/>
          <w:color w:val="18333C"/>
          <w:u w:val="none"/>
          <w:effect w:val="non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Empires and Puzzles offered a robust slate of in-game events celebrating the title's ninth anniversary.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caps w:val="false"/>
          <w:smallCaps w:val="false"/>
          <w:strike w:val="false"/>
          <w:dstrike w:val="false"/>
          <w:color w:val="18333C"/>
          <w:u w:val="none"/>
          <w:effect w:val="none"/>
        </w:rPr>
        <w:t>–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Our direct-to-consumer channel contributed to Net Bookings and margin growth as we integrated additional mobile titles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and deepened player relationships by reducing payment friction and enhancing the user experience. These efforts are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generating improvements in conversion and customer loyalty. As the regulatory landscape evolves, we are increasingly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confident in the sustainability and growth profile of this channel.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Our strong fiscal 2026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performance also reflects the strategic steps management has taken over the past several years to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fortify our balance sheet, expand and diversify our franchise portfolio, and improve our margin profile for the long term.</w:t>
      </w:r>
    </w:p>
    <w:p>
      <w:pPr>
        <w:pStyle w:val="TextBody"/>
        <w:bidi w:val="0"/>
        <w:spacing w:lineRule="atLeast" w:line="24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24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24"/>
          <w:u w:val="none"/>
          <w:effect w:val="none"/>
        </w:rPr>
        <w:t>Shareholder Engagement</w:t>
      </w:r>
    </w:p>
    <w:p>
      <w:pPr>
        <w:pStyle w:val="TextBody"/>
        <w:bidi w:val="0"/>
        <w:spacing w:before="0" w:after="0"/>
        <w:jc w:val="left"/>
        <w:rPr>
          <w:shd w:fill="auto" w:val="clear"/>
        </w:rPr>
      </w:pPr>
      <w:r>
        <w:rPr>
          <w:shd w:fill="auto" w:val="clear"/>
        </w:rPr>
        <w:drawing>
          <wp:inline distT="0" distB="0" distL="0" distR="0">
            <wp:extent cx="3200400" cy="3291205"/>
            <wp:effectExtent l="0" t="0" r="0" b="0"/>
            <wp:docPr id="253" name="Image25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3" name="Image253" descr=""/>
                    <pic:cNvPicPr>
                      <a:picLocks noChangeAspect="1" noChangeArrowheads="1"/>
                    </pic:cNvPicPr>
                  </pic:nvPicPr>
                  <pic:blipFill>
                    <a:blip r:embed="rId25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0400" cy="32912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253" w:name="i-253"/>
      <w:bookmarkEnd w:id="253"/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We maintain a robust year-round shareholder outreach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program that fosters ongoing, two-way dialogue on topics our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shareholders find most important. Our Board members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regularly participate in these critically important conversations,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covering a diverse range of topics, including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board, governance, sustainability and executive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compensation.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 xml:space="preserve">At our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2025</w:t>
      </w:r>
      <w:r>
        <w:rPr>
          <w:caps w:val="false"/>
          <w:smallCaps w:val="false"/>
          <w:sz w:val="24"/>
          <w:u w:val="singl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annual meeting of shareholders, we were pleased</w:t>
      </w:r>
      <w:r>
        <w:rPr>
          <w:caps w:val="false"/>
          <w:smallCaps w:val="false"/>
          <w:sz w:val="24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 xml:space="preserve">that our Say-on-Pay proposal received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95%</w:t>
      </w:r>
      <w:r>
        <w:rPr>
          <w:caps w:val="false"/>
          <w:smallCaps w:val="false"/>
          <w:sz w:val="24"/>
          <w:u w:val="singl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support reflecting</w:t>
      </w:r>
      <w:r>
        <w:rPr>
          <w:caps w:val="false"/>
          <w:smallCaps w:val="false"/>
          <w:sz w:val="24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our extensive outreach efforts and responsiveness to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 xml:space="preserve">shareholder feedback. Since the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2025</w:t>
      </w:r>
      <w:r>
        <w:rPr>
          <w:caps w:val="false"/>
          <w:smallCaps w:val="false"/>
          <w:sz w:val="24"/>
          <w:u w:val="singl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Annual Meeting, we</w:t>
      </w:r>
      <w:r>
        <w:rPr>
          <w:caps w:val="false"/>
          <w:smallCaps w:val="false"/>
          <w:sz w:val="24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have sought discussions with holders representing more than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55% of our outstanding shares and have met with all investors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who expressed an interest in engaging with us, representing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nearly one-third of our outstanding shares. Members of our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Board of Directors actively participated in meetings with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shareholders holding over one-quarter of our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outstanding shares.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Shareholders continued overwhelmingly to express support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for our compensation program. Consistent with prior feedback,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shareholders viewed favorably the increased rigor and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disclosure of goal setting within our annual cash incentive program, the increased weighting of performance-based equity as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part of our long-term incentive program, and the adoption of longer performance and vesting periods for equity awards. These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enhancements were implemented in response to prior shareholder input and incorporated into a management agreement (the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caps w:val="false"/>
          <w:smallCaps w:val="false"/>
          <w:u w:val="single"/>
        </w:rPr>
        <w:t>“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2022 Management Agreement”) with ZMC, which became effective for the fiscal year ended March 31, 2023 (“fiscal 2023”).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Investors also responded positively to the formation of our Technology Risk Committee, which oversees key emerging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technology risks and opportunities, including cybersecurity and AI, and reports its findings to the full Board. In addition,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conversations surrounding our Human Capital Management policies were constructive and reflected continued support for our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approach to talent management.</w:t>
      </w:r>
    </w:p>
    <w:tbl>
      <w:tblPr>
        <w:tblW w:w="4982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4651"/>
        <w:gridCol w:w="331"/>
      </w:tblGrid>
      <w:tr>
        <w:trPr/>
        <w:tc>
          <w:tcPr>
            <w:tcW w:w="46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651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sz w:val="24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TAKE-TWO INTERACTIVE SOFTWARE, INC.   |   2026</w:t>
            </w:r>
            <w:r>
              <w:rPr>
                <w:caps w:val="false"/>
                <w:smallCaps w:val="false"/>
                <w:strike w:val="false"/>
                <w:dstrike w:val="false"/>
                <w:color w:val="18333C"/>
                <w:sz w:val="24"/>
                <w:u w:val="none"/>
                <w:effect w:val="none"/>
              </w:rPr>
              <w:t xml:space="preserve"> 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 xml:space="preserve">Proxy Statement </w:t>
            </w:r>
          </w:p>
        </w:tc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29</w:t>
            </w:r>
          </w:p>
        </w:tc>
      </w:tr>
    </w:tbl>
    <w:p>
      <w:pPr>
        <w:pStyle w:val="TextBody"/>
        <w:bidi w:val="0"/>
        <w:spacing w:lineRule="atLeast" w:line="142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3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3"/>
          <w:u w:val="none"/>
          <w:effect w:val="none"/>
        </w:rPr>
        <w:t>COMPENSATION DISCUSSION AND ANALYSIS</w:t>
      </w:r>
    </w:p>
    <w:p>
      <w:pPr>
        <w:pStyle w:val="TextBody"/>
        <w:bidi w:val="0"/>
        <w:spacing w:lineRule="atLeast" w:line="142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2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2"/>
          <w:u w:val="none"/>
          <w:effect w:val="none"/>
        </w:rPr>
        <w:t>EXECUTIVE SUMMARY</w:t>
      </w:r>
    </w:p>
    <w:tbl>
      <w:tblPr>
        <w:tblW w:w="9833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4"/>
        <w:gridCol w:w="3185"/>
        <w:gridCol w:w="3185"/>
        <w:gridCol w:w="3185"/>
        <w:gridCol w:w="154"/>
      </w:tblGrid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18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18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18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>
              <w:top w:val="single" w:sz="16" w:space="0" w:color="081C31"/>
            </w:tcBorders>
            <w:shd w:fill="EBEDE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185" w:type="dxa"/>
            <w:tcBorders>
              <w:top w:val="single" w:sz="16" w:space="0" w:color="081C31"/>
            </w:tcBorders>
            <w:shd w:fill="EBEDE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185" w:type="dxa"/>
            <w:tcBorders>
              <w:top w:val="single" w:sz="16" w:space="0" w:color="081C31"/>
            </w:tcBorders>
            <w:shd w:fill="EBEDE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185" w:type="dxa"/>
            <w:tcBorders>
              <w:top w:val="single" w:sz="16" w:space="0" w:color="081C31"/>
            </w:tcBorders>
            <w:shd w:fill="EBEDE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>
              <w:top w:val="single" w:sz="16" w:space="0" w:color="081C31"/>
            </w:tcBorders>
            <w:shd w:fill="EBEDEF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/>
            <w:shd w:fill="EBEDE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555" w:type="dxa"/>
            <w:gridSpan w:val="3"/>
            <w:tcBorders/>
            <w:shd w:fill="EBEDE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sz w:val="24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8"/>
                <w:u w:val="none"/>
                <w:effect w:val="none"/>
              </w:rPr>
              <w:t>Shareholder Engagement Following the 2025</w:t>
            </w:r>
            <w:r>
              <w:rPr>
                <w:caps w:val="false"/>
                <w:smallCaps w:val="false"/>
                <w:strike w:val="false"/>
                <w:dstrike w:val="false"/>
                <w:color w:val="18333C"/>
                <w:sz w:val="24"/>
                <w:u w:val="none"/>
                <w:effect w:val="none"/>
              </w:rPr>
              <w:t xml:space="preserve"> 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8"/>
                <w:u w:val="none"/>
                <w:effect w:val="none"/>
              </w:rPr>
              <w:t>Annual Meeting</w:t>
            </w:r>
          </w:p>
        </w:tc>
        <w:tc>
          <w:tcPr>
            <w:tcW w:w="154" w:type="dxa"/>
            <w:tcBorders/>
            <w:shd w:fill="EBEDE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/>
            <w:shd w:fill="EBEDE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185" w:type="dxa"/>
            <w:tcBorders/>
            <w:shd w:fill="EBEDE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185" w:type="dxa"/>
            <w:tcBorders/>
            <w:shd w:fill="EBEDE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185" w:type="dxa"/>
            <w:tcBorders/>
            <w:shd w:fill="EBEDE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shd w:fill="EBEDE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/>
            <w:shd w:fill="EBEDE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185" w:type="dxa"/>
            <w:tcBorders>
              <w:right w:val="single" w:sz="4" w:space="0" w:color="000000"/>
            </w:tcBorders>
            <w:shd w:fill="EBEDEF" w:val="clear"/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8"/>
                <w:u w:val="none"/>
                <w:effect w:val="none"/>
              </w:rPr>
              <w:t>Shareholders Contacted</w:t>
            </w:r>
          </w:p>
        </w:tc>
        <w:tc>
          <w:tcPr>
            <w:tcW w:w="3185" w:type="dxa"/>
            <w:tcBorders>
              <w:left w:val="single" w:sz="4" w:space="0" w:color="000000"/>
              <w:right w:val="single" w:sz="4" w:space="0" w:color="000000"/>
            </w:tcBorders>
            <w:shd w:fill="EBEDEF" w:val="clear"/>
            <w:tcMar>
              <w:top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8"/>
                <w:u w:val="none"/>
                <w:effect w:val="none"/>
              </w:rPr>
              <w:t>Engaged with</w:t>
            </w:r>
          </w:p>
        </w:tc>
        <w:tc>
          <w:tcPr>
            <w:tcW w:w="3185" w:type="dxa"/>
            <w:tcBorders>
              <w:left w:val="single" w:sz="4" w:space="0" w:color="000000"/>
            </w:tcBorders>
            <w:shd w:fill="EBEDEF" w:val="clear"/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8"/>
                <w:u w:val="none"/>
                <w:effect w:val="none"/>
              </w:rPr>
              <w:t>Director-Led Discussions</w:t>
            </w:r>
          </w:p>
        </w:tc>
        <w:tc>
          <w:tcPr>
            <w:tcW w:w="154" w:type="dxa"/>
            <w:tcBorders/>
            <w:shd w:fill="EBEDE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/>
            <w:shd w:fill="EBEDE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185" w:type="dxa"/>
            <w:tcBorders>
              <w:right w:val="single" w:sz="4" w:space="0" w:color="000000"/>
            </w:tcBorders>
            <w:shd w:fill="EBEDEF" w:val="clear"/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185" w:type="dxa"/>
            <w:tcBorders>
              <w:left w:val="single" w:sz="4" w:space="0" w:color="000000"/>
              <w:right w:val="single" w:sz="4" w:space="0" w:color="000000"/>
            </w:tcBorders>
            <w:shd w:fill="EBEDEF" w:val="clear"/>
            <w:tcMar>
              <w:top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185" w:type="dxa"/>
            <w:tcBorders>
              <w:left w:val="single" w:sz="4" w:space="0" w:color="000000"/>
            </w:tcBorders>
            <w:shd w:fill="EBEDEF" w:val="clear"/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shd w:fill="EBEDE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/>
            <w:shd w:fill="EBEDE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185" w:type="dxa"/>
            <w:tcBorders>
              <w:right w:val="single" w:sz="4" w:space="0" w:color="000000"/>
            </w:tcBorders>
            <w:shd w:fill="EBEDEF" w:val="clear"/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lineRule="atLeast" w:line="4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64BFA6"/>
                <w:sz w:val="4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64BFA6"/>
                <w:sz w:val="40"/>
                <w:u w:val="none"/>
                <w:effect w:val="none"/>
              </w:rPr>
              <w:t>~56.4%</w:t>
            </w:r>
          </w:p>
        </w:tc>
        <w:tc>
          <w:tcPr>
            <w:tcW w:w="3185" w:type="dxa"/>
            <w:tcBorders>
              <w:left w:val="single" w:sz="4" w:space="0" w:color="000000"/>
              <w:right w:val="single" w:sz="4" w:space="0" w:color="000000"/>
            </w:tcBorders>
            <w:shd w:fill="EBEDEF" w:val="clear"/>
            <w:tcMar>
              <w:top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lineRule="atLeast" w:line="4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64BFA6"/>
                <w:sz w:val="4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64BFA6"/>
                <w:sz w:val="40"/>
                <w:u w:val="none"/>
                <w:effect w:val="none"/>
              </w:rPr>
              <w:t>~31.8%</w:t>
            </w:r>
          </w:p>
        </w:tc>
        <w:tc>
          <w:tcPr>
            <w:tcW w:w="3185" w:type="dxa"/>
            <w:tcBorders>
              <w:left w:val="single" w:sz="4" w:space="0" w:color="000000"/>
            </w:tcBorders>
            <w:shd w:fill="EBEDEF" w:val="clear"/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4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64BFA6"/>
                <w:sz w:val="4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64BFA6"/>
                <w:sz w:val="40"/>
                <w:u w:val="none"/>
                <w:effect w:val="none"/>
              </w:rPr>
              <w:t>~28.3%</w:t>
            </w:r>
          </w:p>
        </w:tc>
        <w:tc>
          <w:tcPr>
            <w:tcW w:w="154" w:type="dxa"/>
            <w:tcBorders/>
            <w:shd w:fill="EBEDE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/>
            <w:shd w:fill="EBEDE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185" w:type="dxa"/>
            <w:tcBorders>
              <w:right w:val="single" w:sz="4" w:space="0" w:color="000000"/>
            </w:tcBorders>
            <w:shd w:fill="EBEDEF" w:val="clear"/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185" w:type="dxa"/>
            <w:tcBorders>
              <w:left w:val="single" w:sz="4" w:space="0" w:color="000000"/>
              <w:right w:val="single" w:sz="4" w:space="0" w:color="000000"/>
            </w:tcBorders>
            <w:shd w:fill="EBEDEF" w:val="clear"/>
            <w:tcMar>
              <w:top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185" w:type="dxa"/>
            <w:tcBorders>
              <w:left w:val="single" w:sz="4" w:space="0" w:color="000000"/>
            </w:tcBorders>
            <w:shd w:fill="EBEDEF" w:val="clear"/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shd w:fill="EBEDE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/>
            <w:shd w:fill="EBEDE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185" w:type="dxa"/>
            <w:tcBorders>
              <w:right w:val="single" w:sz="4" w:space="0" w:color="000000"/>
            </w:tcBorders>
            <w:shd w:fill="EBEDEF" w:val="clear"/>
            <w:tcMar>
              <w:top w:w="0" w:type="dxa"/>
              <w:left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8"/>
                <w:u w:val="none"/>
                <w:effect w:val="none"/>
              </w:rPr>
              <w:t>of our outstanding common stock</w:t>
            </w:r>
          </w:p>
        </w:tc>
        <w:tc>
          <w:tcPr>
            <w:tcW w:w="3185" w:type="dxa"/>
            <w:tcBorders>
              <w:left w:val="single" w:sz="4" w:space="0" w:color="000000"/>
              <w:right w:val="single" w:sz="4" w:space="0" w:color="000000"/>
            </w:tcBorders>
            <w:shd w:fill="EBEDEF" w:val="clear"/>
            <w:tcMar>
              <w:top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8"/>
                <w:u w:val="none"/>
                <w:effect w:val="none"/>
              </w:rPr>
              <w:t>of our outstanding common stock</w:t>
            </w:r>
          </w:p>
        </w:tc>
        <w:tc>
          <w:tcPr>
            <w:tcW w:w="3185" w:type="dxa"/>
            <w:tcBorders>
              <w:left w:val="single" w:sz="4" w:space="0" w:color="000000"/>
            </w:tcBorders>
            <w:shd w:fill="EBEDEF" w:val="clear"/>
            <w:tcMar>
              <w:top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8"/>
                <w:u w:val="none"/>
                <w:effect w:val="none"/>
              </w:rPr>
              <w:t>of our outstanding common stock</w:t>
            </w:r>
          </w:p>
        </w:tc>
        <w:tc>
          <w:tcPr>
            <w:tcW w:w="154" w:type="dxa"/>
            <w:tcBorders/>
            <w:shd w:fill="EBEDE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/>
            <w:shd w:fill="EBEDE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185" w:type="dxa"/>
            <w:tcBorders/>
            <w:shd w:fill="EBEDE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185" w:type="dxa"/>
            <w:tcBorders/>
            <w:shd w:fill="EBEDE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185" w:type="dxa"/>
            <w:tcBorders/>
            <w:shd w:fill="EBEDE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shd w:fill="EBEDE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/>
            <w:shd w:fill="EBEDE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555" w:type="dxa"/>
            <w:gridSpan w:val="3"/>
            <w:tcBorders/>
            <w:shd w:fill="EBEDEF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/>
                <w:sz w:val="18"/>
              </w:rPr>
            </w:pPr>
            <w:r>
              <w:rPr>
                <w:rFonts w:ascii="Arial;sans-serif" w:hAnsi="Arial;sans-serif"/>
                <w:b w:val="false"/>
                <w:i/>
                <w:sz w:val="18"/>
              </w:rPr>
              <w:t xml:space="preserve">All percentages represent ownership of Take-Two outstanding common stock as reported by our shareholders’ most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/>
                <w:sz w:val="18"/>
              </w:rPr>
            </w:pPr>
            <w:r>
              <w:rPr>
                <w:rFonts w:ascii="Arial;sans-serif" w:hAnsi="Arial;sans-serif"/>
                <w:b w:val="false"/>
                <w:i/>
                <w:sz w:val="18"/>
              </w:rPr>
              <w:t>recent filings as of the date of this Proxy Statement.</w:t>
            </w:r>
          </w:p>
        </w:tc>
        <w:tc>
          <w:tcPr>
            <w:tcW w:w="154" w:type="dxa"/>
            <w:tcBorders/>
            <w:shd w:fill="EBEDE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/>
            <w:shd w:fill="EBEDE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185" w:type="dxa"/>
            <w:tcBorders/>
            <w:shd w:fill="EBEDE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185" w:type="dxa"/>
            <w:tcBorders/>
            <w:shd w:fill="EBEDE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185" w:type="dxa"/>
            <w:tcBorders/>
            <w:shd w:fill="EBEDE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shd w:fill="EBEDE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The key topics discussed during shareholder engagement activities following our 2025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Annual Meeting included: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caps w:val="false"/>
          <w:smallCaps w:val="false"/>
          <w:strike w:val="false"/>
          <w:dstrike w:val="false"/>
          <w:color w:val="18333C"/>
          <w:u w:val="none"/>
          <w:effect w:val="none"/>
        </w:rPr>
        <w:t>•</w:t>
      </w: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Compensation Practices: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> 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Shareholders remained pleased to see compensation program changes made in the past few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years, including enhanced performance goal rigor, longer performance and vesting periods for equity awards, a greater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emphasis on performance-based compensation, and expanded compensation-related disclosure.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caps w:val="false"/>
          <w:smallCaps w:val="false"/>
          <w:strike w:val="false"/>
          <w:dstrike w:val="false"/>
          <w:color w:val="18333C"/>
          <w:u w:val="none"/>
          <w:effect w:val="none"/>
        </w:rPr>
        <w:t>•</w:t>
      </w: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Board Composition and Governance: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Shareholders discussed Board composition, tenure, refreshment, and emerging skill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sets. Investors responded favorably to the addition of an individualized Board skills matrix and accompanying disclosures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/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 xml:space="preserve">regarding the relevance of each skill represented on the Board. (see </w:t>
      </w:r>
      <w:hyperlink w:anchor="ic520981c3fc6423da018a5df888014d2_37">
        <w:r>
          <w:rPr>
            <w:rStyle w:val="InternetLink"/>
            <w:rFonts w:ascii="Arial;sans-serif" w:hAnsi="Arial;sans-serif"/>
            <w:b w:val="false"/>
            <w:i w:val="false"/>
            <w:caps w:val="false"/>
            <w:smallCaps w:val="false"/>
            <w:strike w:val="false"/>
            <w:dstrike w:val="false"/>
            <w:color w:val="000000"/>
            <w:sz w:val="18"/>
            <w:u w:val="single"/>
            <w:effect w:val="none"/>
          </w:rPr>
          <w:t>Page</w:t>
        </w:r>
      </w:hyperlink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  <w:hyperlink w:anchor="ic520981c3fc6423da018a5df888014d2_37">
        <w:r>
          <w:rPr>
            <w:rStyle w:val="InternetLink"/>
            <w:rFonts w:ascii="Arial;sans-serif" w:hAnsi="Arial;sans-serif"/>
            <w:b w:val="false"/>
            <w:i w:val="false"/>
            <w:caps w:val="false"/>
            <w:smallCaps w:val="false"/>
            <w:strike w:val="false"/>
            <w:dstrike w:val="false"/>
            <w:color w:val="000000"/>
            <w:sz w:val="18"/>
            <w:u w:val="single"/>
            <w:effect w:val="none"/>
          </w:rPr>
          <w:t>15</w:t>
        </w:r>
      </w:hyperlink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).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caps w:val="false"/>
          <w:smallCaps w:val="false"/>
          <w:strike w:val="false"/>
          <w:dstrike w:val="false"/>
          <w:color w:val="18333C"/>
          <w:u w:val="none"/>
          <w:effect w:val="none"/>
        </w:rPr>
        <w:t>•</w:t>
      </w: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Succession Planning and Board Refreshment.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Shareholders discussed the Company’s approach to leadership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succession and Board refreshment, including the Board’s rotation of leadership and committee roles to balance new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perspectives with the institutional knowledge of directors who have served through the evolution of the interactive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entertainment industry. This included the appointment of a new Lead Independent Director in 2023, the appointment of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Roland Hernandez as the new Corporate Governance Committee Chair in 2025, and the appointment of J Moses to lead our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new Technology Risk Committee.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caps w:val="false"/>
          <w:smallCaps w:val="false"/>
          <w:strike w:val="false"/>
          <w:dstrike w:val="false"/>
          <w:color w:val="18333C"/>
          <w:u w:val="none"/>
          <w:effect w:val="none"/>
        </w:rPr>
        <w:t>•</w:t>
      </w: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Artificial Intelligence and Technology Oversight.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Shareholders expressed interest in the Company’s approach to AI,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including governance, oversight, and current and potential future applications across our business. Shareholders also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responded positively to the formation of the new Technology Risk Committee in October 2025, reflecting the growing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importance of emerging technology oversight in our industry and the importance of technology to our business as an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interactive entertainment company. We discussed management’s oversight of AI implementation, as well as the new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Technology Risk Committee's role in monitoring AI-related risks and opportunities. We also emphasized our belief that AI can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enhance the capabilities and productivity of our workforce while complementing human creativity.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caps w:val="false"/>
          <w:smallCaps w:val="false"/>
          <w:strike w:val="false"/>
          <w:dstrike w:val="false"/>
          <w:color w:val="18333C"/>
          <w:u w:val="none"/>
          <w:effect w:val="none"/>
        </w:rPr>
        <w:t>•</w:t>
      </w: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Sustainability Topics.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Shareholders discussed the Company’s approach to sustainability topics, including Human Capital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Management, and recognized the importance of our attracting, retaining and motivating key talent. Investors also highlighted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the value of the Company’s broad-based equity compensation program in supporting these objectives for the Company’s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creative talent.</w:t>
      </w:r>
    </w:p>
    <w:tbl>
      <w:tblPr>
        <w:tblW w:w="493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301"/>
        <w:gridCol w:w="4636"/>
      </w:tblGrid>
      <w:tr>
        <w:trPr/>
        <w:tc>
          <w:tcPr>
            <w:tcW w:w="30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0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30</w:t>
            </w:r>
          </w:p>
        </w:tc>
        <w:tc>
          <w:tcPr>
            <w:tcW w:w="4636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sz w:val="24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TAKE-TWO INTERACTIVE SOFTWARE, INC.   |   2026</w:t>
            </w:r>
            <w:r>
              <w:rPr>
                <w:caps w:val="false"/>
                <w:smallCaps w:val="false"/>
                <w:strike w:val="false"/>
                <w:dstrike w:val="false"/>
                <w:color w:val="18333C"/>
                <w:sz w:val="24"/>
                <w:u w:val="none"/>
                <w:effect w:val="none"/>
              </w:rPr>
              <w:t xml:space="preserve"> 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Proxy Statement</w:t>
            </w:r>
          </w:p>
        </w:tc>
      </w:tr>
    </w:tbl>
    <w:p>
      <w:pPr>
        <w:pStyle w:val="TextBody"/>
        <w:bidi w:val="0"/>
        <w:spacing w:lineRule="atLeast" w:line="142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3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3"/>
          <w:u w:val="none"/>
          <w:effect w:val="none"/>
        </w:rPr>
        <w:t>COMPENSATION DISCUSSION AND ANALYSIS</w:t>
      </w:r>
    </w:p>
    <w:p>
      <w:pPr>
        <w:pStyle w:val="TextBody"/>
        <w:bidi w:val="0"/>
        <w:spacing w:lineRule="atLeast" w:line="142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2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2"/>
          <w:u w:val="none"/>
          <w:effect w:val="none"/>
        </w:rPr>
        <w:t>EXECUTIVE SUMMARY</w:t>
      </w:r>
    </w:p>
    <w:p>
      <w:pPr>
        <w:pStyle w:val="TextBody"/>
        <w:bidi w:val="0"/>
        <w:spacing w:lineRule="atLeast" w:line="240" w:before="0" w:after="0"/>
        <w:jc w:val="left"/>
        <w:rPr>
          <w:sz w:val="24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24"/>
          <w:u w:val="none"/>
          <w:effect w:val="none"/>
        </w:rPr>
        <w:t>Fiscal 2026</w:t>
      </w:r>
      <w:r>
        <w:rPr>
          <w:caps w:val="false"/>
          <w:smallCaps w:val="false"/>
          <w:strike w:val="false"/>
          <w:dstrike w:val="false"/>
          <w:color w:val="18333C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24"/>
          <w:u w:val="none"/>
          <w:effect w:val="none"/>
        </w:rPr>
        <w:t>Variable Compensation Targets and Performance Achievement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Annual and long-term incentives for ZMC and our other NEOs are based on measurable financial and share price performance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metrics that reflect key measures of our success. The following table summarizes the targets and actual results for both ZMC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and NEO performance-based cash compensation for fiscal 2026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and equity compensation linked to TSR and RCS performance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granted in fiscal 2026.</w:t>
      </w:r>
    </w:p>
    <w:tbl>
      <w:tblPr>
        <w:tblW w:w="9712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3481"/>
        <w:gridCol w:w="1636"/>
        <w:gridCol w:w="1510"/>
        <w:gridCol w:w="1510"/>
        <w:gridCol w:w="1575"/>
      </w:tblGrid>
      <w:tr>
        <w:trPr/>
        <w:tc>
          <w:tcPr>
            <w:tcW w:w="348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1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1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7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81" w:type="dxa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36" w:type="dxa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5"/>
                <w:u w:val="none"/>
                <w:effect w:val="none"/>
              </w:rPr>
              <w:t>Financial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5"/>
                <w:u w:val="none"/>
                <w:effect w:val="none"/>
              </w:rPr>
              <w:t>Performance Metrics</w:t>
            </w:r>
          </w:p>
        </w:tc>
        <w:tc>
          <w:tcPr>
            <w:tcW w:w="1510" w:type="dxa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5"/>
                <w:u w:val="none"/>
                <w:effect w:val="none"/>
              </w:rPr>
              <w:t>2026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5"/>
                <w:u w:val="none"/>
                <w:effect w:val="none"/>
              </w:rPr>
              <w:t>Performance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5"/>
                <w:u w:val="none"/>
                <w:effect w:val="none"/>
              </w:rPr>
              <w:t>Threshold</w:t>
            </w:r>
          </w:p>
        </w:tc>
        <w:tc>
          <w:tcPr>
            <w:tcW w:w="1510" w:type="dxa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5"/>
                <w:u w:val="none"/>
                <w:effect w:val="none"/>
              </w:rPr>
              <w:t>2026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5"/>
                <w:u w:val="none"/>
                <w:effect w:val="none"/>
              </w:rPr>
              <w:t>Performance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5"/>
                <w:u w:val="none"/>
                <w:effect w:val="none"/>
              </w:rPr>
              <w:t>Target</w:t>
            </w:r>
          </w:p>
        </w:tc>
        <w:tc>
          <w:tcPr>
            <w:tcW w:w="1575" w:type="dxa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5"/>
                <w:u w:val="none"/>
                <w:effect w:val="none"/>
              </w:rPr>
              <w:t>2026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5"/>
                <w:u w:val="none"/>
                <w:effect w:val="none"/>
              </w:rPr>
              <w:t>Performance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5"/>
                <w:u w:val="none"/>
                <w:effect w:val="none"/>
              </w:rPr>
              <w:t>Maximum</w:t>
            </w:r>
          </w:p>
        </w:tc>
      </w:tr>
      <w:tr>
        <w:trPr/>
        <w:tc>
          <w:tcPr>
            <w:tcW w:w="3481" w:type="dxa"/>
            <w:tcBorders>
              <w:top w:val="single" w:sz="4" w:space="0" w:color="18333C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36" w:type="dxa"/>
            <w:tcBorders>
              <w:top w:val="single" w:sz="4" w:space="0" w:color="18333C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10" w:type="dxa"/>
            <w:tcBorders>
              <w:top w:val="single" w:sz="4" w:space="0" w:color="18333C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10" w:type="dxa"/>
            <w:tcBorders>
              <w:top w:val="single" w:sz="4" w:space="0" w:color="18333C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75" w:type="dxa"/>
            <w:tcBorders>
              <w:top w:val="single" w:sz="4" w:space="0" w:color="18333C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81" w:type="dxa"/>
            <w:tcBorders/>
            <w:vAlign w:val="center"/>
          </w:tcPr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5"/>
                <w:u w:val="none"/>
                <w:effect w:val="none"/>
              </w:rPr>
              <w:t>Annual Incentive</w:t>
            </w:r>
          </w:p>
        </w:tc>
        <w:tc>
          <w:tcPr>
            <w:tcW w:w="1636" w:type="dxa"/>
            <w:tcBorders/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Adjusted EBITDA</w:t>
            </w:r>
          </w:p>
        </w:tc>
        <w:tc>
          <w:tcPr>
            <w:tcW w:w="459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2834640" cy="487680"/>
                  <wp:effectExtent l="0" t="0" r="0" b="0"/>
                  <wp:docPr id="254" name="Image254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4" name="Image254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34640" cy="4876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254" w:name="i-254"/>
            <w:bookmarkEnd w:id="254"/>
          </w:p>
        </w:tc>
      </w:tr>
      <w:tr>
        <w:trPr/>
        <w:tc>
          <w:tcPr>
            <w:tcW w:w="3481" w:type="dxa"/>
            <w:tcBorders>
              <w:bottom w:val="single" w:sz="2" w:space="0" w:color="8C8D8F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36" w:type="dxa"/>
            <w:tcBorders>
              <w:bottom w:val="single" w:sz="2" w:space="0" w:color="8C8D8F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10" w:type="dxa"/>
            <w:tcBorders>
              <w:bottom w:val="single" w:sz="2" w:space="0" w:color="8C8D8F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10" w:type="dxa"/>
            <w:tcBorders>
              <w:bottom w:val="single" w:sz="2" w:space="0" w:color="8C8D8F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75" w:type="dxa"/>
            <w:tcBorders>
              <w:bottom w:val="single" w:sz="2" w:space="0" w:color="8C8D8F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81" w:type="dxa"/>
            <w:tcBorders>
              <w:top w:val="single" w:sz="2" w:space="0" w:color="8C8D8F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36" w:type="dxa"/>
            <w:tcBorders>
              <w:top w:val="single" w:sz="2" w:space="0" w:color="8C8D8F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10" w:type="dxa"/>
            <w:tcBorders>
              <w:top w:val="single" w:sz="2" w:space="0" w:color="8C8D8F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10" w:type="dxa"/>
            <w:tcBorders>
              <w:top w:val="single" w:sz="2" w:space="0" w:color="8C8D8F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75" w:type="dxa"/>
            <w:tcBorders>
              <w:top w:val="single" w:sz="2" w:space="0" w:color="8C8D8F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81" w:type="dxa"/>
            <w:tcBorders/>
            <w:vAlign w:val="center"/>
          </w:tcPr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sz w:val="24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z w:val="15"/>
              </w:rPr>
              <w:t xml:space="preserve">Performance-Based RSUs (Fiscal 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sz w:val="15"/>
                <w:u w:val="none"/>
                <w:effect w:val="none"/>
              </w:rPr>
              <w:t>2026</w:t>
            </w:r>
            <w:r>
              <w:rPr>
                <w:caps w:val="false"/>
                <w:smallCaps w:val="false"/>
                <w:sz w:val="24"/>
              </w:rPr>
              <w:t xml:space="preserve"> 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z w:val="15"/>
              </w:rPr>
              <w:t>Grant)</w:t>
            </w:r>
          </w:p>
        </w:tc>
        <w:tc>
          <w:tcPr>
            <w:tcW w:w="1636" w:type="dxa"/>
            <w:tcBorders/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Relative TSR</w:t>
            </w:r>
          </w:p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RCS</w:t>
            </w:r>
          </w:p>
        </w:tc>
        <w:tc>
          <w:tcPr>
            <w:tcW w:w="459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2834640" cy="477520"/>
                  <wp:effectExtent l="0" t="0" r="0" b="0"/>
                  <wp:docPr id="255" name="Image255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5" name="Image255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34640" cy="4775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255" w:name="i-255"/>
            <w:bookmarkEnd w:id="255"/>
          </w:p>
        </w:tc>
      </w:tr>
      <w:tr>
        <w:trPr/>
        <w:tc>
          <w:tcPr>
            <w:tcW w:w="348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3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 </w:t>
            </w:r>
          </w:p>
        </w:tc>
        <w:tc>
          <w:tcPr>
            <w:tcW w:w="459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4"/>
                <w:u w:val="none"/>
                <w:effect w:val="none"/>
              </w:rPr>
              <w:t xml:space="preserve">*      Relative TSR and RCS metrics are measured over the three-year 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4"/>
                <w:u w:val="none"/>
                <w:effect w:val="none"/>
              </w:rPr>
              <w:t>period ending March 31, 2028.</w:t>
            </w:r>
          </w:p>
        </w:tc>
      </w:tr>
      <w:tr>
        <w:trPr/>
        <w:tc>
          <w:tcPr>
            <w:tcW w:w="3481" w:type="dxa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36" w:type="dxa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95" w:type="dxa"/>
            <w:gridSpan w:val="3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/>
          <w:i w:val="false"/>
          <w:caps w:val="false"/>
          <w:smallCaps w:val="false"/>
          <w:sz w:val="18"/>
          <w:u w:val="single"/>
        </w:rPr>
      </w:pPr>
      <w:r>
        <w:rPr>
          <w:rFonts w:ascii="Arial;sans-serif" w:hAnsi="Arial;sans-serif"/>
          <w:b/>
          <w:i w:val="false"/>
          <w:caps w:val="false"/>
          <w:smallCaps w:val="false"/>
          <w:sz w:val="18"/>
          <w:u w:val="single"/>
        </w:rPr>
        <w:t>Annual Incentive Plan Target Setting</w:t>
      </w:r>
      <w:bookmarkStart w:id="256" w:name="i8ac22c4471c94fd08516cda22ece4e05_17825"/>
      <w:bookmarkStart w:id="257" w:name="i8ac22c4471c94fd08516cda22ece4e05_17824"/>
      <w:bookmarkEnd w:id="256"/>
      <w:bookmarkEnd w:id="257"/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Our Compensation Committee establishes the annual cash incentive based solely on performance against a budgeted Adjusted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EBITDA* goal set at the beginning of each fiscal year. Adjusted EBITDA is an objective measure that focuses our executives on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operating growth and profitability, which the Committee believes is key to shareholder value creation. There is no discretionary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element to this goal.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In setting an Adjusted EBITDA target, the Board of Directors works closely with management as part of an iterative process to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set the budget and determine an appropriate target that aligns with the Company’s goals and objectives for the upcoming fiscal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year. The Board of Directors is guided by a philosophy to set rigorous, yet achievable goals that contain appropriate stretch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targets to motivate outperformance. The factors considered in determining the appropriate annual Adjusted EBITDA target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include the Company’s projected annual release schedule, whether the releases are new IP or iterations of established IP, the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Company’s expected investment in future research and development, and an analysis of the risks and opportunities for the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upcoming fiscal year. Because release schedules, investment amounts, and expected risks and opportunities differ year over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year, a rigorous target that provides an appropriate incentive for the Company’s executives will vary from year to year.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In setting our fiscal 2026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Adjusted EBITDA targets, the Board of Directors specifically considered, among other factors: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caps w:val="false"/>
          <w:smallCaps w:val="false"/>
          <w:strike w:val="false"/>
          <w:dstrike w:val="false"/>
          <w:color w:val="18333C"/>
          <w:u w:val="none"/>
          <w:effect w:val="non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Our expected product releases, including the expected timing of releases;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caps w:val="false"/>
          <w:smallCaps w:val="false"/>
          <w:strike w:val="false"/>
          <w:dstrike w:val="false"/>
          <w:color w:val="18333C"/>
          <w:u w:val="none"/>
          <w:effect w:val="non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Our efforts to grow our mobile portfolio;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caps w:val="false"/>
          <w:smallCaps w:val="false"/>
          <w:strike w:val="false"/>
          <w:dstrike w:val="false"/>
          <w:color w:val="18333C"/>
          <w:u w:val="none"/>
          <w:effect w:val="non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The market conditions for our industry; and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caps w:val="false"/>
          <w:smallCaps w:val="false"/>
          <w:strike w:val="false"/>
          <w:dstrike w:val="false"/>
          <w:color w:val="18333C"/>
          <w:u w:val="none"/>
          <w:effect w:val="non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Our plan to build scale through organic initiatives.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As a result of these considerations, the fiscal 2026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Adjusted EBITDA target was set at a level above the actual Adjusted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EBITDA achieved in the fiscal year ended March 31, 2025</w:t>
      </w:r>
      <w:r>
        <w:rPr>
          <w:caps w:val="false"/>
          <w:smallCaps w:val="false"/>
          <w:sz w:val="24"/>
          <w:u w:val="singl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(“</w:t>
      </w:r>
      <w:r>
        <w:rPr>
          <w:rFonts w:ascii="Arial;sans-serif" w:hAnsi="Arial;sans-serif"/>
          <w:b w:val="false"/>
          <w:i/>
          <w:strike w:val="false"/>
          <w:dstrike w:val="false"/>
          <w:sz w:val="18"/>
          <w:u w:val="none"/>
          <w:effect w:val="none"/>
        </w:rPr>
        <w:t>fiscal 2025</w:t>
      </w:r>
      <w:r>
        <w:rPr>
          <w:caps w:val="false"/>
          <w:smallCaps w:val="false"/>
          <w:sz w:val="24"/>
          <w:u w:val="single"/>
        </w:rPr>
        <w:t>”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)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.</w:t>
      </w:r>
    </w:p>
    <w:tbl>
      <w:tblPr>
        <w:tblW w:w="278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4"/>
        <w:gridCol w:w="154"/>
      </w:tblGrid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>
              <w:bottom w:val="single" w:sz="4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color w:val="18333C"/>
          <w:sz w:val="18"/>
          <w:u w:val="none"/>
          <w:effect w:val="none"/>
        </w:rPr>
        <w:t>*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Adjusted EBITDA is a non-GAAP measure, which is defined as GAAP net income (loss) excluding the change in deferred net revenue and related cost of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42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revenue, stock-based compensation, business reorganization, interest expense (income), depreciation and amortization, amortization and impairment of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42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intangible assets, bonus, income taxes, fair value adjustments related to certain equity investments and acquisition-related costs. Refer to Annex A herein for a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42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reconciliation of GAAP net income to the Adjusted EBITDA measure discussed above.</w:t>
      </w:r>
    </w:p>
    <w:tbl>
      <w:tblPr>
        <w:tblW w:w="4982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4651"/>
        <w:gridCol w:w="331"/>
      </w:tblGrid>
      <w:tr>
        <w:trPr/>
        <w:tc>
          <w:tcPr>
            <w:tcW w:w="46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651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sz w:val="24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TAKE-TWO INTERACTIVE SOFTWARE, INC.   |   2026</w:t>
            </w:r>
            <w:r>
              <w:rPr>
                <w:caps w:val="false"/>
                <w:smallCaps w:val="false"/>
                <w:strike w:val="false"/>
                <w:dstrike w:val="false"/>
                <w:color w:val="18333C"/>
                <w:sz w:val="24"/>
                <w:u w:val="none"/>
                <w:effect w:val="none"/>
              </w:rPr>
              <w:t xml:space="preserve"> 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 xml:space="preserve">Proxy Statement </w:t>
            </w:r>
          </w:p>
        </w:tc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31</w:t>
            </w:r>
          </w:p>
        </w:tc>
      </w:tr>
    </w:tbl>
    <w:p>
      <w:pPr>
        <w:pStyle w:val="TextBody"/>
        <w:bidi w:val="0"/>
        <w:spacing w:lineRule="atLeast" w:line="142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3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3"/>
          <w:u w:val="none"/>
          <w:effect w:val="none"/>
        </w:rPr>
        <w:t>COMPENSATION DISCUSSION AND ANALYSIS</w:t>
      </w:r>
    </w:p>
    <w:p>
      <w:pPr>
        <w:pStyle w:val="TextBody"/>
        <w:bidi w:val="0"/>
        <w:spacing w:lineRule="atLeast" w:line="142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2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2"/>
          <w:u w:val="none"/>
          <w:effect w:val="none"/>
        </w:rPr>
        <w:t>EXECUTIVE SUMMARY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8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8"/>
          <w:u w:val="none"/>
          <w:effect w:val="none"/>
        </w:rPr>
        <w:t>Annual Incentive Plan Achievement</w:t>
      </w:r>
      <w:bookmarkStart w:id="258" w:name="i8ac22c4471c94fd08516cda22ece4e05_17826"/>
      <w:bookmarkEnd w:id="258"/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Target Adjusted EBITDA for fiscal 2026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was $919.5 million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and the Company achieved actual Adjusted EBITDA of $1,401.6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million. Our achievement was driven by: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caps w:val="false"/>
          <w:smallCaps w:val="false"/>
          <w:strike w:val="false"/>
          <w:dstrike w:val="false"/>
          <w:color w:val="18333C"/>
          <w:u w:val="none"/>
          <w:effect w:val="non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Overperformance of our expectations by NBA 2K;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caps w:val="false"/>
          <w:smallCaps w:val="false"/>
          <w:strike w:val="false"/>
          <w:dstrike w:val="false"/>
          <w:color w:val="18333C"/>
          <w:u w:val="none"/>
          <w:effect w:val="non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Overperformance of our expectations by our mobile business; and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caps w:val="false"/>
          <w:smallCaps w:val="false"/>
          <w:strike w:val="false"/>
          <w:dstrike w:val="false"/>
          <w:color w:val="18333C"/>
          <w:u w:val="none"/>
          <w:effect w:val="non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Better than expected performance by GTA Online and GTA V.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As a result of our Adjusted EBITDA performance exceeding 150% of target, ZMC and our other NEOs received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maximum bonus payouts under the fiscal 2026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annual incentive plan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. This marked the first time since fiscal 2021 that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maximum payments were achieved, and reflects our outstanding operational and business performance in fiscal 2026. For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further discussion of our results for fiscal 2026, see the above section titled “Select Fiscal 2026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Performance Highlights.”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For a detailed description of the performance-based RSUs that vested, or failed to vest, in fiscal 2026, see “Compensation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Discussion and Analysis—Detailed Discussion and Analysis—Principal Elements of Non-ZMC Related Executive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Compensation—NEO Long-Term Incentive Awards Vested in Fiscal 2026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”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and “Certain Relationships and Related Transactions</w:t>
      </w:r>
    </w:p>
    <w:p>
      <w:pPr>
        <w:pStyle w:val="TextBody"/>
        <w:bidi w:val="0"/>
        <w:spacing w:lineRule="atLeast" w:line="180" w:before="0" w:after="0"/>
        <w:jc w:val="both"/>
        <w:rPr>
          <w:caps w:val="false"/>
          <w:smallCaps w:val="false"/>
          <w:strike w:val="false"/>
          <w:dstrike w:val="false"/>
          <w:u w:val="none"/>
          <w:effect w:val="none"/>
        </w:rPr>
      </w:pPr>
      <w:r>
        <w:rPr>
          <w:caps w:val="false"/>
          <w:smallCaps w:val="false"/>
          <w:strike w:val="false"/>
          <w:dstrike w:val="false"/>
          <w:u w:val="none"/>
          <w:effect w:val="none"/>
        </w:rPr>
        <w:t>—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Management Agreement.”</w:t>
      </w:r>
    </w:p>
    <w:p>
      <w:pPr>
        <w:pStyle w:val="TextBody"/>
        <w:bidi w:val="0"/>
        <w:spacing w:lineRule="atLeast" w:line="24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24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24"/>
          <w:u w:val="none"/>
          <w:effect w:val="none"/>
        </w:rPr>
        <w:t>ZMC Management Agreement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Executive Chairman and CEO Strauss Zelnick and President Karl Slatoff serve as executives of the Company under the 2022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Management Agreement with ZMC, a partnership of private equity investors that focuses on the media and communications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industry, of which they are partners. The 2022 Management Agreement (which runs through March 31, 2029) includes the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following enhancements from the prior 2017 Management Agreement that were implemented in response to direct feedback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from shareholders:</w:t>
      </w:r>
    </w:p>
    <w:tbl>
      <w:tblPr>
        <w:tblW w:w="9939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3541"/>
        <w:gridCol w:w="3346"/>
        <w:gridCol w:w="561"/>
        <w:gridCol w:w="2491"/>
      </w:tblGrid>
      <w:tr>
        <w:trPr/>
        <w:tc>
          <w:tcPr>
            <w:tcW w:w="35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4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41" w:type="dxa"/>
            <w:tcBorders/>
            <w:shd w:fill="64BFA6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46" w:type="dxa"/>
            <w:tcBorders/>
            <w:shd w:fill="64BFA6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61" w:type="dxa"/>
            <w:tcBorders/>
            <w:shd w:fill="64BFA6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491" w:type="dxa"/>
            <w:tcBorders/>
            <w:shd w:fill="64BFA6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939" w:type="dxa"/>
            <w:gridSpan w:val="4"/>
            <w:tcBorders>
              <w:bottom w:val="single" w:sz="4" w:space="0" w:color="FFFFFF"/>
            </w:tcBorders>
            <w:shd w:fill="64BFA6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ZMC Management Agreement Enhancements</w:t>
            </w:r>
          </w:p>
        </w:tc>
      </w:tr>
      <w:tr>
        <w:trPr/>
        <w:tc>
          <w:tcPr>
            <w:tcW w:w="3541" w:type="dxa"/>
            <w:tcBorders>
              <w:top w:val="single" w:sz="4" w:space="0" w:color="FFFFFF"/>
            </w:tcBorders>
            <w:shd w:fill="64BFA6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46" w:type="dxa"/>
            <w:tcBorders>
              <w:top w:val="single" w:sz="4" w:space="0" w:color="FFFFFF"/>
            </w:tcBorders>
            <w:shd w:fill="64BFA6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61" w:type="dxa"/>
            <w:tcBorders>
              <w:top w:val="single" w:sz="4" w:space="0" w:color="FFFFFF"/>
            </w:tcBorders>
            <w:shd w:fill="64BFA6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491" w:type="dxa"/>
            <w:tcBorders>
              <w:top w:val="single" w:sz="4" w:space="0" w:color="FFFFFF"/>
            </w:tcBorders>
            <w:shd w:fill="64BFA6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41" w:type="dxa"/>
            <w:tcBorders/>
            <w:shd w:fill="64BFA6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Structural Element</w:t>
            </w:r>
          </w:p>
        </w:tc>
        <w:tc>
          <w:tcPr>
            <w:tcW w:w="3346" w:type="dxa"/>
            <w:tcBorders/>
            <w:shd w:fill="64BFA6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2017 Management Agreement</w:t>
            </w:r>
          </w:p>
        </w:tc>
        <w:tc>
          <w:tcPr>
            <w:tcW w:w="561" w:type="dxa"/>
            <w:tcBorders/>
            <w:shd w:fill="64BFA6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491" w:type="dxa"/>
            <w:tcBorders/>
            <w:shd w:fill="64BFA6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2022 Management Agreement</w:t>
            </w:r>
          </w:p>
        </w:tc>
      </w:tr>
      <w:tr>
        <w:trPr/>
        <w:tc>
          <w:tcPr>
            <w:tcW w:w="3541" w:type="dxa"/>
            <w:tcBorders/>
            <w:shd w:fill="64BFA6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46" w:type="dxa"/>
            <w:tcBorders/>
            <w:shd w:fill="64BFA6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61" w:type="dxa"/>
            <w:tcBorders/>
            <w:shd w:fill="64BFA6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491" w:type="dxa"/>
            <w:tcBorders/>
            <w:shd w:fill="64BFA6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491" w:type="dxa"/>
            <w:tcBorders/>
            <w:shd w:fill="F0F8F7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41" w:type="dxa"/>
            <w:tcBorders/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sz w:val="17"/>
                <w:u w:val="none"/>
                <w:effect w:val="none"/>
              </w:rPr>
              <w:t>Percentage of at-risk compensation at max</w:t>
            </w:r>
          </w:p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7"/>
                <w:u w:val="none"/>
                <w:effect w:val="none"/>
              </w:rPr>
              <w:t>(across both Annual Incentive and LTI awards)</w:t>
            </w:r>
          </w:p>
        </w:tc>
        <w:tc>
          <w:tcPr>
            <w:tcW w:w="3346" w:type="dxa"/>
            <w:tcBorders/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71%</w:t>
            </w:r>
          </w:p>
        </w:tc>
        <w:tc>
          <w:tcPr>
            <w:tcW w:w="56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</w:rPr>
            </w:pPr>
            <w:r>
              <w:rPr>
                <w:caps w:val="false"/>
                <w:smallCaps w:val="fals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301625" cy="309245"/>
                  <wp:effectExtent l="0" t="0" r="0" b="0"/>
                  <wp:docPr id="256" name="Image256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6" name="Image256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1625" cy="3092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259" w:name="i-256"/>
            <w:bookmarkEnd w:id="259"/>
          </w:p>
        </w:tc>
        <w:tc>
          <w:tcPr>
            <w:tcW w:w="2491" w:type="dxa"/>
            <w:tcBorders/>
            <w:shd w:fill="F0F8F7" w:val="clear"/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/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sz w:val="17"/>
                <w:u w:val="none"/>
                <w:effect w:val="none"/>
              </w:rPr>
              <w:t>80%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sz w:val="11"/>
                <w:u w:val="none"/>
                <w:effect w:val="none"/>
              </w:rPr>
              <w:t>(1)</w:t>
            </w:r>
          </w:p>
        </w:tc>
      </w:tr>
      <w:tr>
        <w:trPr/>
        <w:tc>
          <w:tcPr>
            <w:tcW w:w="3541" w:type="dxa"/>
            <w:tcBorders>
              <w:bottom w:val="single" w:sz="2" w:space="0" w:color="8C8D8F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46" w:type="dxa"/>
            <w:tcBorders>
              <w:bottom w:val="single" w:sz="2" w:space="0" w:color="8C8D8F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61" w:type="dxa"/>
            <w:tcBorders>
              <w:bottom w:val="single" w:sz="2" w:space="0" w:color="8C8D8F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491" w:type="dxa"/>
            <w:tcBorders>
              <w:bottom w:val="single" w:sz="2" w:space="0" w:color="8C8D8F"/>
            </w:tcBorders>
            <w:shd w:fill="F0F8F7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41" w:type="dxa"/>
            <w:tcBorders>
              <w:top w:val="single" w:sz="2" w:space="0" w:color="8C8D8F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46" w:type="dxa"/>
            <w:tcBorders>
              <w:top w:val="single" w:sz="2" w:space="0" w:color="8C8D8F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61" w:type="dxa"/>
            <w:tcBorders>
              <w:top w:val="single" w:sz="2" w:space="0" w:color="8C8D8F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491" w:type="dxa"/>
            <w:tcBorders>
              <w:top w:val="single" w:sz="2" w:space="0" w:color="8C8D8F"/>
            </w:tcBorders>
            <w:shd w:fill="F0F8F7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41" w:type="dxa"/>
            <w:tcBorders/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 xml:space="preserve">Proportion of performance-based equity </w:t>
            </w:r>
          </w:p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at target</w:t>
            </w:r>
          </w:p>
        </w:tc>
        <w:tc>
          <w:tcPr>
            <w:tcW w:w="3346" w:type="dxa"/>
            <w:tcBorders/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55%</w:t>
            </w:r>
          </w:p>
        </w:tc>
        <w:tc>
          <w:tcPr>
            <w:tcW w:w="56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</w:rPr>
            </w:pPr>
            <w:r>
              <w:rPr>
                <w:caps w:val="false"/>
                <w:smallCaps w:val="fals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301625" cy="309245"/>
                  <wp:effectExtent l="0" t="0" r="0" b="0"/>
                  <wp:docPr id="257" name="Image257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7" name="Image257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1625" cy="3092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260" w:name="i-257"/>
            <w:bookmarkEnd w:id="260"/>
          </w:p>
        </w:tc>
        <w:tc>
          <w:tcPr>
            <w:tcW w:w="2491" w:type="dxa"/>
            <w:tcBorders/>
            <w:shd w:fill="F0F8F7" w:val="clear"/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67%</w:t>
            </w:r>
          </w:p>
        </w:tc>
      </w:tr>
      <w:tr>
        <w:trPr/>
        <w:tc>
          <w:tcPr>
            <w:tcW w:w="3541" w:type="dxa"/>
            <w:tcBorders>
              <w:bottom w:val="single" w:sz="2" w:space="0" w:color="8C8D8F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46" w:type="dxa"/>
            <w:tcBorders>
              <w:bottom w:val="single" w:sz="2" w:space="0" w:color="8C8D8F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61" w:type="dxa"/>
            <w:tcBorders>
              <w:bottom w:val="single" w:sz="2" w:space="0" w:color="8C8D8F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491" w:type="dxa"/>
            <w:tcBorders>
              <w:bottom w:val="single" w:sz="2" w:space="0" w:color="8C8D8F"/>
            </w:tcBorders>
            <w:shd w:fill="F0F8F7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41" w:type="dxa"/>
            <w:tcBorders>
              <w:top w:val="single" w:sz="2" w:space="0" w:color="8C8D8F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46" w:type="dxa"/>
            <w:tcBorders>
              <w:top w:val="single" w:sz="2" w:space="0" w:color="8C8D8F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61" w:type="dxa"/>
            <w:tcBorders>
              <w:top w:val="single" w:sz="2" w:space="0" w:color="8C8D8F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491" w:type="dxa"/>
            <w:tcBorders>
              <w:top w:val="single" w:sz="2" w:space="0" w:color="8C8D8F"/>
            </w:tcBorders>
            <w:shd w:fill="F0F8F7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41" w:type="dxa"/>
            <w:tcBorders/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 xml:space="preserve">Measurement and vesting period of </w:t>
            </w:r>
          </w:p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performance-based equity awards</w:t>
            </w:r>
          </w:p>
        </w:tc>
        <w:tc>
          <w:tcPr>
            <w:tcW w:w="3346" w:type="dxa"/>
            <w:tcBorders/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Two years</w:t>
            </w:r>
          </w:p>
        </w:tc>
        <w:tc>
          <w:tcPr>
            <w:tcW w:w="56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</w:rPr>
            </w:pPr>
            <w:r>
              <w:rPr>
                <w:caps w:val="false"/>
                <w:smallCaps w:val="fals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301625" cy="309245"/>
                  <wp:effectExtent l="0" t="0" r="0" b="0"/>
                  <wp:docPr id="258" name="Image258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8" name="Image258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1625" cy="3092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261" w:name="i-258"/>
            <w:bookmarkEnd w:id="261"/>
          </w:p>
        </w:tc>
        <w:tc>
          <w:tcPr>
            <w:tcW w:w="2491" w:type="dxa"/>
            <w:tcBorders/>
            <w:shd w:fill="F0F8F7" w:val="clear"/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Three years</w:t>
            </w:r>
          </w:p>
        </w:tc>
      </w:tr>
      <w:tr>
        <w:trPr/>
        <w:tc>
          <w:tcPr>
            <w:tcW w:w="3541" w:type="dxa"/>
            <w:tcBorders>
              <w:bottom w:val="single" w:sz="2" w:space="0" w:color="8C8D8F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46" w:type="dxa"/>
            <w:tcBorders>
              <w:bottom w:val="single" w:sz="2" w:space="0" w:color="8C8D8F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61" w:type="dxa"/>
            <w:tcBorders>
              <w:bottom w:val="single" w:sz="2" w:space="0" w:color="8C8D8F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491" w:type="dxa"/>
            <w:tcBorders>
              <w:bottom w:val="single" w:sz="2" w:space="0" w:color="8C8D8F"/>
            </w:tcBorders>
            <w:shd w:fill="F0F8F7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41" w:type="dxa"/>
            <w:tcBorders>
              <w:top w:val="single" w:sz="2" w:space="0" w:color="8C8D8F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46" w:type="dxa"/>
            <w:tcBorders>
              <w:top w:val="single" w:sz="2" w:space="0" w:color="8C8D8F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61" w:type="dxa"/>
            <w:tcBorders>
              <w:top w:val="single" w:sz="2" w:space="0" w:color="8C8D8F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491" w:type="dxa"/>
            <w:tcBorders>
              <w:top w:val="single" w:sz="2" w:space="0" w:color="8C8D8F"/>
            </w:tcBorders>
            <w:shd w:fill="F0F8F7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41" w:type="dxa"/>
            <w:tcBorders/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Vesting period of time-based equity</w:t>
            </w:r>
          </w:p>
        </w:tc>
        <w:tc>
          <w:tcPr>
            <w:tcW w:w="3346" w:type="dxa"/>
            <w:tcBorders/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Two-year cliff vesting</w:t>
            </w:r>
          </w:p>
        </w:tc>
        <w:tc>
          <w:tcPr>
            <w:tcW w:w="56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</w:rPr>
            </w:pPr>
            <w:r>
              <w:rPr>
                <w:caps w:val="false"/>
                <w:smallCaps w:val="fals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301625" cy="309245"/>
                  <wp:effectExtent l="0" t="0" r="0" b="0"/>
                  <wp:docPr id="259" name="Image259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9" name="Image259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1625" cy="3092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262" w:name="i-259"/>
            <w:bookmarkEnd w:id="262"/>
          </w:p>
        </w:tc>
        <w:tc>
          <w:tcPr>
            <w:tcW w:w="2491" w:type="dxa"/>
            <w:tcBorders/>
            <w:shd w:fill="F0F8F7" w:val="clear"/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Three-year ratable vesting</w:t>
            </w:r>
          </w:p>
        </w:tc>
      </w:tr>
      <w:tr>
        <w:trPr/>
        <w:tc>
          <w:tcPr>
            <w:tcW w:w="3541" w:type="dxa"/>
            <w:tcBorders>
              <w:bottom w:val="single" w:sz="2" w:space="0" w:color="8C8D8F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46" w:type="dxa"/>
            <w:tcBorders>
              <w:bottom w:val="single" w:sz="2" w:space="0" w:color="8C8D8F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61" w:type="dxa"/>
            <w:tcBorders>
              <w:bottom w:val="single" w:sz="2" w:space="0" w:color="8C8D8F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491" w:type="dxa"/>
            <w:tcBorders>
              <w:bottom w:val="single" w:sz="2" w:space="0" w:color="8C8D8F"/>
            </w:tcBorders>
            <w:shd w:fill="F0F8F7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41" w:type="dxa"/>
            <w:tcBorders>
              <w:top w:val="single" w:sz="2" w:space="0" w:color="8C8D8F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46" w:type="dxa"/>
            <w:tcBorders>
              <w:top w:val="single" w:sz="2" w:space="0" w:color="8C8D8F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61" w:type="dxa"/>
            <w:tcBorders>
              <w:top w:val="single" w:sz="2" w:space="0" w:color="8C8D8F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491" w:type="dxa"/>
            <w:tcBorders>
              <w:top w:val="single" w:sz="2" w:space="0" w:color="8C8D8F"/>
            </w:tcBorders>
            <w:shd w:fill="F0F8F7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41" w:type="dxa"/>
            <w:tcBorders/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 xml:space="preserve">Percentage of performance-based equity </w:t>
            </w:r>
          </w:p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tied to Relative TSR, RCS and IP metrics</w:t>
            </w:r>
          </w:p>
        </w:tc>
        <w:tc>
          <w:tcPr>
            <w:tcW w:w="3346" w:type="dxa"/>
            <w:tcBorders/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75% Relative TSR</w:t>
            </w:r>
          </w:p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12.5% RCS</w:t>
            </w:r>
          </w:p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12.5% IP</w:t>
            </w:r>
          </w:p>
        </w:tc>
        <w:tc>
          <w:tcPr>
            <w:tcW w:w="5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491" w:type="dxa"/>
            <w:tcBorders/>
            <w:shd w:fill="F0F8F7" w:val="clear"/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75% Relative TSR</w:t>
            </w:r>
          </w:p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25% RCS</w:t>
            </w:r>
          </w:p>
        </w:tc>
      </w:tr>
      <w:tr>
        <w:trPr/>
        <w:tc>
          <w:tcPr>
            <w:tcW w:w="3541" w:type="dxa"/>
            <w:tcBorders>
              <w:bottom w:val="single" w:sz="2" w:space="0" w:color="8C8D8F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46" w:type="dxa"/>
            <w:tcBorders>
              <w:bottom w:val="single" w:sz="2" w:space="0" w:color="8C8D8F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61" w:type="dxa"/>
            <w:tcBorders>
              <w:bottom w:val="single" w:sz="2" w:space="0" w:color="8C8D8F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491" w:type="dxa"/>
            <w:tcBorders>
              <w:bottom w:val="single" w:sz="2" w:space="0" w:color="8C8D8F"/>
            </w:tcBorders>
            <w:shd w:fill="F0F8F7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41" w:type="dxa"/>
            <w:tcBorders>
              <w:top w:val="single" w:sz="2" w:space="0" w:color="8C8D8F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46" w:type="dxa"/>
            <w:tcBorders>
              <w:top w:val="single" w:sz="2" w:space="0" w:color="8C8D8F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61" w:type="dxa"/>
            <w:tcBorders>
              <w:top w:val="single" w:sz="2" w:space="0" w:color="8C8D8F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491" w:type="dxa"/>
            <w:tcBorders>
              <w:top w:val="single" w:sz="2" w:space="0" w:color="8C8D8F"/>
            </w:tcBorders>
            <w:shd w:fill="F0F8F7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41" w:type="dxa"/>
            <w:tcBorders/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Relative TSR Peer Group</w:t>
            </w:r>
          </w:p>
        </w:tc>
        <w:tc>
          <w:tcPr>
            <w:tcW w:w="3346" w:type="dxa"/>
            <w:tcBorders/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Nasdaq Composite Index</w:t>
            </w:r>
          </w:p>
        </w:tc>
        <w:tc>
          <w:tcPr>
            <w:tcW w:w="5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491" w:type="dxa"/>
            <w:tcBorders/>
            <w:shd w:fill="F0F8F7" w:val="clear"/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Nasdaq-100 Index</w:t>
            </w:r>
          </w:p>
        </w:tc>
      </w:tr>
      <w:tr>
        <w:trPr/>
        <w:tc>
          <w:tcPr>
            <w:tcW w:w="3541" w:type="dxa"/>
            <w:tcBorders>
              <w:bottom w:val="single" w:sz="2" w:space="0" w:color="8C8D8F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46" w:type="dxa"/>
            <w:tcBorders>
              <w:bottom w:val="single" w:sz="2" w:space="0" w:color="8C8D8F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61" w:type="dxa"/>
            <w:tcBorders>
              <w:bottom w:val="single" w:sz="2" w:space="0" w:color="8C8D8F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491" w:type="dxa"/>
            <w:tcBorders>
              <w:bottom w:val="single" w:sz="2" w:space="0" w:color="8C8D8F"/>
            </w:tcBorders>
            <w:shd w:fill="F0F8F7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41" w:type="dxa"/>
            <w:tcBorders>
              <w:top w:val="single" w:sz="2" w:space="0" w:color="8C8D8F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46" w:type="dxa"/>
            <w:tcBorders>
              <w:top w:val="single" w:sz="2" w:space="0" w:color="8C8D8F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61" w:type="dxa"/>
            <w:tcBorders>
              <w:top w:val="single" w:sz="2" w:space="0" w:color="8C8D8F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491" w:type="dxa"/>
            <w:tcBorders>
              <w:top w:val="single" w:sz="2" w:space="0" w:color="8C8D8F"/>
            </w:tcBorders>
            <w:shd w:fill="F0F8F7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41" w:type="dxa"/>
            <w:tcBorders/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Rigorous Relative TSR Thresholds</w:t>
            </w:r>
          </w:p>
        </w:tc>
        <w:tc>
          <w:tcPr>
            <w:tcW w:w="3346" w:type="dxa"/>
            <w:tcBorders/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40th percentile minimum</w:t>
            </w:r>
          </w:p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50th percentile target</w:t>
            </w:r>
          </w:p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75th percentile or above maximum</w:t>
            </w:r>
          </w:p>
        </w:tc>
        <w:tc>
          <w:tcPr>
            <w:tcW w:w="5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491" w:type="dxa"/>
            <w:tcBorders/>
            <w:shd w:fill="F0F8F7" w:val="clear"/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Same</w:t>
            </w:r>
          </w:p>
        </w:tc>
      </w:tr>
      <w:tr>
        <w:trPr/>
        <w:tc>
          <w:tcPr>
            <w:tcW w:w="3541" w:type="dxa"/>
            <w:tcBorders>
              <w:bottom w:val="single" w:sz="2" w:space="0" w:color="8C8D8F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46" w:type="dxa"/>
            <w:tcBorders>
              <w:bottom w:val="single" w:sz="2" w:space="0" w:color="8C8D8F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61" w:type="dxa"/>
            <w:tcBorders>
              <w:bottom w:val="single" w:sz="2" w:space="0" w:color="8C8D8F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491" w:type="dxa"/>
            <w:tcBorders>
              <w:bottom w:val="single" w:sz="2" w:space="0" w:color="8C8D8F"/>
            </w:tcBorders>
            <w:shd w:fill="F0F8F7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41" w:type="dxa"/>
            <w:tcBorders>
              <w:top w:val="single" w:sz="2" w:space="0" w:color="8C8D8F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46" w:type="dxa"/>
            <w:tcBorders>
              <w:top w:val="single" w:sz="2" w:space="0" w:color="8C8D8F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61" w:type="dxa"/>
            <w:tcBorders>
              <w:top w:val="single" w:sz="2" w:space="0" w:color="8C8D8F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491" w:type="dxa"/>
            <w:tcBorders>
              <w:top w:val="single" w:sz="2" w:space="0" w:color="8C8D8F"/>
            </w:tcBorders>
            <w:shd w:fill="F0F8F7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41" w:type="dxa"/>
            <w:tcBorders/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Increased Transparency</w:t>
            </w:r>
          </w:p>
        </w:tc>
        <w:tc>
          <w:tcPr>
            <w:tcW w:w="3346" w:type="dxa"/>
            <w:tcBorders/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60% cap on fees paid by ZMC to Mr. Zelnick</w:t>
            </w:r>
          </w:p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40% cap on fees paid by ZMC to Mr. Slatoff</w:t>
            </w:r>
          </w:p>
        </w:tc>
        <w:tc>
          <w:tcPr>
            <w:tcW w:w="5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491" w:type="dxa"/>
            <w:tcBorders/>
            <w:shd w:fill="F0F8F7" w:val="clear"/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Same</w:t>
            </w:r>
          </w:p>
        </w:tc>
      </w:tr>
      <w:tr>
        <w:trPr/>
        <w:tc>
          <w:tcPr>
            <w:tcW w:w="3541" w:type="dxa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46" w:type="dxa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61" w:type="dxa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491" w:type="dxa"/>
            <w:tcBorders>
              <w:bottom w:val="single" w:sz="4" w:space="0" w:color="18333C"/>
            </w:tcBorders>
            <w:shd w:fill="F0F8F7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lineRule="atLeast" w:line="142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(1)Percentage based on fiscal 2026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compensation.</w:t>
      </w:r>
    </w:p>
    <w:tbl>
      <w:tblPr>
        <w:tblW w:w="493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301"/>
        <w:gridCol w:w="4636"/>
      </w:tblGrid>
      <w:tr>
        <w:trPr/>
        <w:tc>
          <w:tcPr>
            <w:tcW w:w="30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0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32</w:t>
            </w:r>
          </w:p>
        </w:tc>
        <w:tc>
          <w:tcPr>
            <w:tcW w:w="4636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sz w:val="24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TAKE-TWO INTERACTIVE SOFTWARE, INC.   |   2026</w:t>
            </w:r>
            <w:r>
              <w:rPr>
                <w:caps w:val="false"/>
                <w:smallCaps w:val="false"/>
                <w:strike w:val="false"/>
                <w:dstrike w:val="false"/>
                <w:color w:val="18333C"/>
                <w:sz w:val="24"/>
                <w:u w:val="none"/>
                <w:effect w:val="none"/>
              </w:rPr>
              <w:t xml:space="preserve"> 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Proxy Statement</w:t>
            </w:r>
          </w:p>
        </w:tc>
      </w:tr>
    </w:tbl>
    <w:p>
      <w:pPr>
        <w:pStyle w:val="TextBody"/>
        <w:bidi w:val="0"/>
        <w:spacing w:lineRule="atLeast" w:line="142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3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3"/>
          <w:u w:val="none"/>
          <w:effect w:val="none"/>
        </w:rPr>
        <w:t>COMPENSATION DISCUSSION AND ANALYSIS</w:t>
      </w:r>
    </w:p>
    <w:p>
      <w:pPr>
        <w:pStyle w:val="TextBody"/>
        <w:bidi w:val="0"/>
        <w:spacing w:lineRule="atLeast" w:line="142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2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2"/>
          <w:u w:val="none"/>
          <w:effect w:val="none"/>
        </w:rPr>
        <w:t>EXECUTIVE SUMMARY</w:t>
      </w:r>
    </w:p>
    <w:p>
      <w:pPr>
        <w:pStyle w:val="TextBody"/>
        <w:bidi w:val="0"/>
        <w:spacing w:lineRule="atLeast" w:line="24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24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24"/>
          <w:u w:val="none"/>
          <w:effect w:val="none"/>
        </w:rPr>
        <w:t>NEO Compensation Structure and Pay-for-Performance Principles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The Compensation Committee has developed compensation programs and arrangements designed to place a substantial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portion of our executives’ compensation at risk based on Company performance. Equity awards are a key element in the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compensation of our executives, as well as creative talent throughout the organization, given the strong linkage equity awards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create between our executives and the long-term performance of our Company as well as the interests of our shareholders.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In fiscal 2026, based on feedback received from shareholders, the Compensation Committee continued to structure ZMC’s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annual equity grant (i) to maintain 67% weighting on performance awards, ensuring that a significant portion of such equity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awards remained “at risk,” and (ii) to continue to have 25% of the vesting criteria for such performance awards subject to the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RCS performance metric. Also based on feedback from shareholders, the Compensation Committee (i) continued to include the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RCS performance metric in the annual equity grant to our non-ZMC NEOs (comprising 25% of the performance awards), and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(ii) maintained the three-year performance period for the performance awards issuable to all our NEOs to ensure continued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alignment with long-term shareholder value.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B0295B"/>
          <w:sz w:val="20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B0295B"/>
          <w:sz w:val="20"/>
          <w:u w:val="none"/>
          <w:effect w:val="none"/>
        </w:rPr>
        <w:t>Compensation to All NEOs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We believe our short-term and long-term incentives are balanced to help incentivize optimal performance and also note that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 xml:space="preserve">there is no duplication in use of performance metrics between short-term and long-term programs.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In fiscal 2026, our NEO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compensation program consisted of three primary components: an annual management fee (for ZMC executives) or base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salary (for our non-ZMC NEOs), an annual incentive opportunity, and long-term incentive awards. The majority of target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compensation was performance-based and weighted toward long-term incentives.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The following table summarizes such compensation components for our NEOs in fiscal 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2026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:</w:t>
      </w:r>
    </w:p>
    <w:tbl>
      <w:tblPr>
        <w:tblW w:w="9320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071"/>
        <w:gridCol w:w="1366"/>
        <w:gridCol w:w="1591"/>
        <w:gridCol w:w="2116"/>
        <w:gridCol w:w="2176"/>
      </w:tblGrid>
      <w:tr>
        <w:trPr/>
        <w:tc>
          <w:tcPr>
            <w:tcW w:w="20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6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11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1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71" w:type="dxa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Compensation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Component</w:t>
            </w:r>
          </w:p>
        </w:tc>
        <w:tc>
          <w:tcPr>
            <w:tcW w:w="1366" w:type="dxa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% Linked to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Performance</w:t>
            </w:r>
          </w:p>
        </w:tc>
        <w:tc>
          <w:tcPr>
            <w:tcW w:w="1591" w:type="dxa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Delivery From</w:t>
            </w:r>
          </w:p>
        </w:tc>
        <w:tc>
          <w:tcPr>
            <w:tcW w:w="2116" w:type="dxa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Performance Link</w:t>
            </w:r>
          </w:p>
        </w:tc>
        <w:tc>
          <w:tcPr>
            <w:tcW w:w="2176" w:type="dxa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Performance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Measurement/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Vesting Period</w:t>
            </w:r>
          </w:p>
        </w:tc>
      </w:tr>
      <w:tr>
        <w:trPr/>
        <w:tc>
          <w:tcPr>
            <w:tcW w:w="2071" w:type="dxa"/>
            <w:tcBorders>
              <w:top w:val="single" w:sz="4" w:space="0" w:color="18333C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 xml:space="preserve">Annual Management </w:t>
            </w:r>
          </w:p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Fee / Annual Base Salary</w:t>
            </w:r>
          </w:p>
        </w:tc>
        <w:tc>
          <w:tcPr>
            <w:tcW w:w="1366" w:type="dxa"/>
            <w:tcBorders>
              <w:top w:val="single" w:sz="4" w:space="0" w:color="18333C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591" w:type="dxa"/>
            <w:tcBorders>
              <w:top w:val="single" w:sz="4" w:space="0" w:color="18333C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Cash</w:t>
            </w:r>
          </w:p>
        </w:tc>
        <w:tc>
          <w:tcPr>
            <w:tcW w:w="2116" w:type="dxa"/>
            <w:tcBorders>
              <w:top w:val="single" w:sz="4" w:space="0" w:color="18333C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2176" w:type="dxa"/>
            <w:tcBorders>
              <w:top w:val="single" w:sz="4" w:space="0" w:color="18333C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>—</w:t>
            </w:r>
          </w:p>
        </w:tc>
      </w:tr>
      <w:tr>
        <w:trPr/>
        <w:tc>
          <w:tcPr>
            <w:tcW w:w="2071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Annual Incentive</w:t>
            </w:r>
          </w:p>
        </w:tc>
        <w:tc>
          <w:tcPr>
            <w:tcW w:w="136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100%</w:t>
            </w:r>
          </w:p>
        </w:tc>
        <w:tc>
          <w:tcPr>
            <w:tcW w:w="1591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Cash</w:t>
            </w:r>
          </w:p>
        </w:tc>
        <w:tc>
          <w:tcPr>
            <w:tcW w:w="211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7"/>
                <w:u w:val="none"/>
                <w:effect w:val="none"/>
              </w:rPr>
              <w:t>Adjusted EBITDA</w:t>
            </w:r>
          </w:p>
        </w:tc>
        <w:tc>
          <w:tcPr>
            <w:tcW w:w="217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7"/>
                <w:u w:val="none"/>
                <w:effect w:val="none"/>
              </w:rPr>
              <w:t>1 year</w:t>
            </w:r>
          </w:p>
        </w:tc>
      </w:tr>
      <w:tr>
        <w:trPr/>
        <w:tc>
          <w:tcPr>
            <w:tcW w:w="2071" w:type="dxa"/>
            <w:vMerge w:val="restart"/>
            <w:tcBorders>
              <w:top w:val="single" w:sz="2" w:space="0" w:color="8C8D8F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sz w:val="17"/>
                <w:u w:val="none"/>
                <w:effect w:val="none"/>
              </w:rPr>
              <w:t>Long-Term Incentive</w:t>
            </w:r>
          </w:p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sz w:val="17"/>
                <w:u w:val="none"/>
                <w:effect w:val="none"/>
              </w:rPr>
              <w:t>(Equity Grants)</w:t>
            </w:r>
          </w:p>
        </w:tc>
        <w:tc>
          <w:tcPr>
            <w:tcW w:w="1366" w:type="dxa"/>
            <w:vMerge w:val="restart"/>
            <w:tcBorders>
              <w:top w:val="single" w:sz="2" w:space="0" w:color="8C8D8F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67% at target</w:t>
            </w:r>
          </w:p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80% at maximum</w:t>
            </w:r>
          </w:p>
        </w:tc>
        <w:tc>
          <w:tcPr>
            <w:tcW w:w="1591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Performance-</w:t>
            </w:r>
          </w:p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Based Awards</w:t>
            </w:r>
          </w:p>
        </w:tc>
        <w:tc>
          <w:tcPr>
            <w:tcW w:w="211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7"/>
                <w:u w:val="none"/>
                <w:effect w:val="none"/>
              </w:rPr>
              <w:t xml:space="preserve">75%: Relative TSR </w:t>
            </w:r>
          </w:p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7"/>
                <w:u w:val="none"/>
                <w:effect w:val="none"/>
              </w:rPr>
              <w:t>Performance</w:t>
            </w:r>
          </w:p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7"/>
                <w:u w:val="none"/>
                <w:effect w:val="none"/>
              </w:rPr>
              <w:t xml:space="preserve">25%: Recurrent Consumer </w:t>
            </w:r>
          </w:p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7"/>
                <w:u w:val="none"/>
                <w:effect w:val="none"/>
              </w:rPr>
              <w:t>Spending Performance</w:t>
            </w:r>
          </w:p>
        </w:tc>
        <w:tc>
          <w:tcPr>
            <w:tcW w:w="217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7"/>
                <w:u w:val="none"/>
                <w:effect w:val="none"/>
              </w:rPr>
              <w:t>3-year measurement period</w:t>
            </w:r>
          </w:p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7"/>
                <w:u w:val="none"/>
                <w:effect w:val="none"/>
              </w:rPr>
              <w:t>3-year cliff vest</w:t>
            </w:r>
          </w:p>
        </w:tc>
      </w:tr>
      <w:tr>
        <w:trPr/>
        <w:tc>
          <w:tcPr>
            <w:tcW w:w="2071" w:type="dxa"/>
            <w:vMerge w:val="continue"/>
            <w:tcBorders>
              <w:top w:val="single" w:sz="2" w:space="0" w:color="8C8D8F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366" w:type="dxa"/>
            <w:vMerge w:val="continue"/>
            <w:tcBorders>
              <w:top w:val="single" w:sz="2" w:space="0" w:color="8C8D8F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91" w:type="dxa"/>
            <w:tcBorders>
              <w:top w:val="single" w:sz="2" w:space="0" w:color="8C8D8F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7"/>
                <w:u w:val="none"/>
                <w:effect w:val="none"/>
              </w:rPr>
              <w:t>Time-Based Awards</w:t>
            </w:r>
          </w:p>
        </w:tc>
        <w:tc>
          <w:tcPr>
            <w:tcW w:w="2116" w:type="dxa"/>
            <w:tcBorders>
              <w:top w:val="single" w:sz="2" w:space="0" w:color="8C8D8F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2176" w:type="dxa"/>
            <w:tcBorders>
              <w:top w:val="single" w:sz="2" w:space="0" w:color="8C8D8F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7"/>
                <w:u w:val="none"/>
                <w:effect w:val="none"/>
              </w:rPr>
              <w:t xml:space="preserve">3-year ratable vesting for </w:t>
            </w:r>
          </w:p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7"/>
                <w:u w:val="none"/>
                <w:effect w:val="none"/>
              </w:rPr>
              <w:t>ZMC executives</w:t>
            </w:r>
          </w:p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7"/>
                <w:u w:val="none"/>
                <w:effect w:val="none"/>
              </w:rPr>
              <w:t xml:space="preserve">4-year ratable vesting for </w:t>
            </w:r>
          </w:p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7"/>
                <w:u w:val="none"/>
                <w:effect w:val="none"/>
              </w:rPr>
              <w:t>non-ZMC NEOs</w:t>
            </w:r>
          </w:p>
        </w:tc>
      </w:tr>
    </w:tbl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In fiscal 2026, the Compensation Committee continued to include RCS performance-based vesting in awards granted to our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non-ZMC NEO’s in the same proportion as awards granted to ZMC. The Committee believes that emphasizing RCS growth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helps reduce the volatility in our business, since our release slate can vary from year to year, better positioning the Company to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achieve our goal of sustained year over year growth. RCS performance is also a key measure of our mobile business and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several of our major console-based franchises (including NBA 2K and Grand Theft Auto Online), all of which are strategic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priorities for our Company.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B0295B"/>
          <w:sz w:val="20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B0295B"/>
          <w:sz w:val="20"/>
          <w:u w:val="none"/>
          <w:effect w:val="none"/>
        </w:rPr>
        <w:t>Structural Pay and Performance Alignment for All NEOs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Our NEOs receive a mix of compensation that is appropriately weighted towards at-risk pay in the form of annual incentives and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long-term incentives. The Compensation Committee believes this creates strong alignment with the Company’s stated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compensation philosophy of providing compensation commensurate with individual and corporate performance. The majority of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incentive compensation is also delivered in the form of equity, which aligns executives’ incentives and the interests of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our shareholders.</w:t>
      </w:r>
    </w:p>
    <w:tbl>
      <w:tblPr>
        <w:tblW w:w="4982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4651"/>
        <w:gridCol w:w="331"/>
      </w:tblGrid>
      <w:tr>
        <w:trPr/>
        <w:tc>
          <w:tcPr>
            <w:tcW w:w="46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651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sz w:val="24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TAKE-TWO INTERACTIVE SOFTWARE, INC.   |   2026</w:t>
            </w:r>
            <w:r>
              <w:rPr>
                <w:caps w:val="false"/>
                <w:smallCaps w:val="false"/>
                <w:strike w:val="false"/>
                <w:dstrike w:val="false"/>
                <w:color w:val="18333C"/>
                <w:sz w:val="24"/>
                <w:u w:val="none"/>
                <w:effect w:val="none"/>
              </w:rPr>
              <w:t xml:space="preserve"> 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 xml:space="preserve">Proxy Statement </w:t>
            </w:r>
          </w:p>
        </w:tc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33</w:t>
            </w:r>
          </w:p>
        </w:tc>
      </w:tr>
    </w:tbl>
    <w:p>
      <w:pPr>
        <w:pStyle w:val="TextBody"/>
        <w:bidi w:val="0"/>
        <w:spacing w:lineRule="atLeast" w:line="142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3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3"/>
          <w:u w:val="none"/>
          <w:effect w:val="none"/>
        </w:rPr>
        <w:t>COMPENSATION DISCUSSION AND ANALYSIS</w:t>
      </w:r>
    </w:p>
    <w:p>
      <w:pPr>
        <w:pStyle w:val="TextBody"/>
        <w:bidi w:val="0"/>
        <w:spacing w:lineRule="atLeast" w:line="142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2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2"/>
          <w:u w:val="none"/>
          <w:effect w:val="none"/>
        </w:rPr>
        <w:t>DETAILED DISCUSSION AND ANALYSIS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The following chart illustrates the fiscal 2026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compensation mix, based on maximum compensation opportunities for ZMC and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for our other NEOs.</w:t>
      </w:r>
    </w:p>
    <w:p>
      <w:pPr>
        <w:pStyle w:val="TextBody"/>
        <w:bidi w:val="0"/>
        <w:spacing w:before="0" w:after="0"/>
        <w:jc w:val="both"/>
        <w:rPr>
          <w:u w:val="single"/>
        </w:rPr>
      </w:pPr>
      <w:r>
        <w:rPr>
          <w:u w:val="single"/>
        </w:rPr>
        <w:drawing>
          <wp:inline distT="0" distB="0" distL="0" distR="0">
            <wp:extent cx="2825750" cy="1727200"/>
            <wp:effectExtent l="0" t="0" r="0" b="0"/>
            <wp:docPr id="260" name="Image260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0" name="Image260" descr=""/>
                    <pic:cNvPicPr>
                      <a:picLocks noChangeAspect="1" noChangeArrowheads="1"/>
                    </pic:cNvPicPr>
                  </pic:nvPicPr>
                  <pic:blipFill>
                    <a:blip r:embed="rId26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5750" cy="1727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263" w:name="i-260"/>
      <w:bookmarkEnd w:id="263"/>
    </w:p>
    <w:p>
      <w:pPr>
        <w:pStyle w:val="TextBody"/>
        <w:bidi w:val="0"/>
        <w:spacing w:before="0" w:after="0"/>
        <w:jc w:val="both"/>
        <w:rPr>
          <w:u w:val="single"/>
        </w:rPr>
      </w:pPr>
      <w:r>
        <w:rPr>
          <w:u w:val="single"/>
        </w:rPr>
        <w:drawing>
          <wp:inline distT="0" distB="0" distL="0" distR="0">
            <wp:extent cx="2825750" cy="1727200"/>
            <wp:effectExtent l="0" t="0" r="0" b="0"/>
            <wp:docPr id="261" name="Image26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1" name="Image261" descr=""/>
                    <pic:cNvPicPr>
                      <a:picLocks noChangeAspect="1" noChangeArrowheads="1"/>
                    </pic:cNvPicPr>
                  </pic:nvPicPr>
                  <pic:blipFill>
                    <a:blip r:embed="rId26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5750" cy="1727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264" w:name="i-261"/>
      <w:bookmarkEnd w:id="264"/>
    </w:p>
    <w:p>
      <w:pPr>
        <w:pStyle w:val="TextBody"/>
        <w:bidi w:val="0"/>
        <w:spacing w:lineRule="atLeast" w:line="24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24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24"/>
          <w:u w:val="none"/>
          <w:effect w:val="none"/>
        </w:rPr>
        <w:t>Highlights of Compensation Governance Practices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The Company maintains strong compensation governance practices that support our pay-for-performance principles and align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management incentives with the interests of our shareholders. We have adopted a number of “best practices” with respect to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executive compensation, including:</w:t>
      </w:r>
    </w:p>
    <w:p>
      <w:pPr>
        <w:pStyle w:val="TextBody"/>
        <w:bidi w:val="0"/>
        <w:spacing w:before="0" w:after="0"/>
        <w:jc w:val="left"/>
        <w:rPr>
          <w:shd w:fill="auto" w:val="clear"/>
        </w:rPr>
      </w:pPr>
      <w:r>
        <w:rPr>
          <w:shd w:fill="auto" w:val="clear"/>
        </w:rPr>
        <w:drawing>
          <wp:inline distT="0" distB="0" distL="0" distR="0">
            <wp:extent cx="6607810" cy="2375535"/>
            <wp:effectExtent l="0" t="0" r="0" b="0"/>
            <wp:docPr id="262" name="Image26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2" name="Image262" descr=""/>
                    <pic:cNvPicPr>
                      <a:picLocks noChangeAspect="1" noChangeArrowheads="1"/>
                    </pic:cNvPicPr>
                  </pic:nvPicPr>
                  <pic:blipFill>
                    <a:blip r:embed="rId26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07810" cy="23755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265" w:name="i-262"/>
      <w:bookmarkEnd w:id="265"/>
    </w:p>
    <w:tbl>
      <w:tblPr>
        <w:tblW w:w="4883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4"/>
        <w:gridCol w:w="273"/>
        <w:gridCol w:w="4486"/>
      </w:tblGrid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8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8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3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18745" cy="121920"/>
                  <wp:effectExtent l="0" t="0" r="0" b="0"/>
                  <wp:docPr id="263" name="Image263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3" name="Image263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745" cy="1219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266" w:name="i-263"/>
            <w:bookmarkEnd w:id="266"/>
          </w:p>
        </w:tc>
        <w:tc>
          <w:tcPr>
            <w:tcW w:w="448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both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Clawback policy applicable to NEOs, including ZMC</w:t>
            </w:r>
          </w:p>
        </w:tc>
      </w:tr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8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3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18745" cy="121920"/>
                  <wp:effectExtent l="0" t="0" r="0" b="0"/>
                  <wp:docPr id="264" name="Image264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4" name="Image264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745" cy="1219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267" w:name="i-264"/>
            <w:bookmarkEnd w:id="267"/>
          </w:p>
        </w:tc>
        <w:tc>
          <w:tcPr>
            <w:tcW w:w="448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both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Incentive caps on annual bonuses to NEOs</w:t>
            </w:r>
          </w:p>
        </w:tc>
      </w:tr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8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3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18745" cy="121920"/>
                  <wp:effectExtent l="0" t="0" r="0" b="0"/>
                  <wp:docPr id="265" name="Image265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5" name="Image265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745" cy="1219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268" w:name="i-265"/>
            <w:bookmarkEnd w:id="268"/>
          </w:p>
        </w:tc>
        <w:tc>
          <w:tcPr>
            <w:tcW w:w="448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both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Strong anti-hedging and anti-pledging policies</w:t>
            </w:r>
          </w:p>
        </w:tc>
      </w:tr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8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3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18745" cy="121920"/>
                  <wp:effectExtent l="0" t="0" r="0" b="0"/>
                  <wp:docPr id="266" name="Image266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6" name="Image266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745" cy="1219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269" w:name="i-266"/>
            <w:bookmarkEnd w:id="269"/>
          </w:p>
        </w:tc>
        <w:tc>
          <w:tcPr>
            <w:tcW w:w="448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Double-trigger acceleration of vesting on a change</w:t>
            </w: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80" w:before="0" w:after="0"/>
              <w:jc w:val="both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in control</w:t>
            </w:r>
          </w:p>
        </w:tc>
      </w:tr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8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3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18745" cy="121920"/>
                  <wp:effectExtent l="0" t="0" r="0" b="0"/>
                  <wp:docPr id="267" name="Image267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7" name="Image267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745" cy="1219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270" w:name="i-267"/>
            <w:bookmarkEnd w:id="270"/>
          </w:p>
        </w:tc>
        <w:tc>
          <w:tcPr>
            <w:tcW w:w="448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Meaningful stock ownership requirements (6x per</w:t>
            </w: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8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annum management fee, excluding any bonuses, for</w:t>
            </w: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8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each of CEO/Chairman and President; 3x annual</w:t>
            </w: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8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base salary for other NEOs; and 5x annual cash</w:t>
            </w: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80" w:before="0" w:after="0"/>
              <w:jc w:val="both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retainer for directors)</w:t>
            </w:r>
          </w:p>
        </w:tc>
      </w:tr>
    </w:tbl>
    <w:tbl>
      <w:tblPr>
        <w:tblW w:w="5018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88"/>
        <w:gridCol w:w="4576"/>
        <w:gridCol w:w="154"/>
      </w:tblGrid>
      <w:tr>
        <w:trPr/>
        <w:tc>
          <w:tcPr>
            <w:tcW w:w="2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88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18745" cy="121920"/>
                  <wp:effectExtent l="0" t="0" r="0" b="0"/>
                  <wp:docPr id="268" name="Image268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8" name="Image268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745" cy="1219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271" w:name="i-268"/>
            <w:bookmarkEnd w:id="271"/>
          </w:p>
        </w:tc>
        <w:tc>
          <w:tcPr>
            <w:tcW w:w="457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Equity incentive plan provisions that prohibit re-pricing</w:t>
            </w: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80" w:before="0" w:after="0"/>
              <w:jc w:val="both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of stock options without shareholder approval</w:t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88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18745" cy="121920"/>
                  <wp:effectExtent l="0" t="0" r="0" b="0"/>
                  <wp:docPr id="269" name="Image269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9" name="Image269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745" cy="1219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272" w:name="i-269"/>
            <w:bookmarkEnd w:id="272"/>
          </w:p>
        </w:tc>
        <w:tc>
          <w:tcPr>
            <w:tcW w:w="457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both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Limited perquisites</w:t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88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18745" cy="121920"/>
                  <wp:effectExtent l="0" t="0" r="0" b="0"/>
                  <wp:docPr id="270" name="Image270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0" name="Image270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745" cy="1219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273" w:name="i-270"/>
            <w:bookmarkEnd w:id="273"/>
          </w:p>
        </w:tc>
        <w:tc>
          <w:tcPr>
            <w:tcW w:w="457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No tax gross ups in respect of any excise taxes on</w:t>
            </w: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80" w:before="0" w:after="0"/>
              <w:jc w:val="both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parachute payments</w:t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88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18745" cy="121920"/>
                  <wp:effectExtent l="0" t="0" r="0" b="0"/>
                  <wp:docPr id="271" name="Image27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1" name="Image27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745" cy="1219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274" w:name="i-271"/>
            <w:bookmarkEnd w:id="274"/>
          </w:p>
        </w:tc>
        <w:tc>
          <w:tcPr>
            <w:tcW w:w="457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Annual compensation risk assessment for</w:t>
            </w: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80" w:before="0" w:after="0"/>
              <w:jc w:val="both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employee plans</w:t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88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18745" cy="121920"/>
                  <wp:effectExtent l="0" t="0" r="0" b="0"/>
                  <wp:docPr id="272" name="Image27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2" name="Image27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745" cy="1219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275" w:name="i-272"/>
            <w:bookmarkEnd w:id="275"/>
          </w:p>
        </w:tc>
        <w:tc>
          <w:tcPr>
            <w:tcW w:w="457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Retention of independent compensation consultants</w:t>
            </w: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80" w:before="0" w:after="0"/>
              <w:jc w:val="both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by the Compensation Committee</w:t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88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18745" cy="121920"/>
                  <wp:effectExtent l="0" t="0" r="0" b="0"/>
                  <wp:docPr id="273" name="Image273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3" name="Image273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745" cy="1219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276" w:name="i-273"/>
            <w:bookmarkEnd w:id="276"/>
          </w:p>
        </w:tc>
        <w:tc>
          <w:tcPr>
            <w:tcW w:w="457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Balanced compensation approach between short-and</w:t>
            </w: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80" w:before="0" w:after="0"/>
              <w:jc w:val="both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long-term incentive opportunities</w:t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8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28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28"/>
          <w:u w:val="none"/>
          <w:effect w:val="none"/>
        </w:rPr>
        <w:t>Detailed Discussion and Analysis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The main body of this Compensation Discussion and Analysis provides details on the principles and objectives of our executive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 xml:space="preserve">compensation program and the Compensation Committee’s key fiscal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2026</w:t>
      </w:r>
      <w:r>
        <w:rPr>
          <w:caps w:val="false"/>
          <w:smallCaps w:val="false"/>
          <w:sz w:val="24"/>
          <w:u w:val="singl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compensation-related decisions. This section is</w:t>
      </w:r>
      <w:r>
        <w:rPr>
          <w:caps w:val="false"/>
          <w:smallCaps w:val="false"/>
          <w:sz w:val="24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organized into the following categories: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8"/>
          <w:u w:val="none"/>
          <w:effect w:val="none"/>
        </w:rPr>
        <w:t>I.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Objectives and Philosophy of Executive Compensation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8"/>
          <w:u w:val="none"/>
          <w:effect w:val="none"/>
        </w:rPr>
        <w:t>II.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Competitive Market Positioning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8"/>
          <w:u w:val="none"/>
          <w:effect w:val="none"/>
        </w:rPr>
        <w:t>III.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Compensation to Executive Chairman and CEO and President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8"/>
          <w:u w:val="none"/>
          <w:effect w:val="none"/>
        </w:rPr>
        <w:t>IV.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Other NEO Compensation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8"/>
          <w:u w:val="none"/>
          <w:effect w:val="none"/>
        </w:rPr>
        <w:t>V.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Principal Elements of Non-ZMC Related Executive Compensation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8"/>
          <w:u w:val="none"/>
          <w:effect w:val="none"/>
        </w:rPr>
        <w:t>VI.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Operation of the Compensation Committee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8"/>
          <w:u w:val="none"/>
          <w:effect w:val="none"/>
        </w:rPr>
        <w:t>VII.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Compensation Governance Practices</w:t>
      </w:r>
    </w:p>
    <w:tbl>
      <w:tblPr>
        <w:tblW w:w="493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301"/>
        <w:gridCol w:w="4636"/>
      </w:tblGrid>
      <w:tr>
        <w:trPr/>
        <w:tc>
          <w:tcPr>
            <w:tcW w:w="30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0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34</w:t>
            </w:r>
          </w:p>
        </w:tc>
        <w:tc>
          <w:tcPr>
            <w:tcW w:w="4636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sz w:val="24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TAKE-TWO INTERACTIVE SOFTWARE, INC.   |   2026</w:t>
            </w:r>
            <w:r>
              <w:rPr>
                <w:caps w:val="false"/>
                <w:smallCaps w:val="false"/>
                <w:strike w:val="false"/>
                <w:dstrike w:val="false"/>
                <w:color w:val="18333C"/>
                <w:sz w:val="24"/>
                <w:u w:val="none"/>
                <w:effect w:val="none"/>
              </w:rPr>
              <w:t xml:space="preserve"> 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Proxy Statement</w:t>
            </w:r>
          </w:p>
        </w:tc>
      </w:tr>
    </w:tbl>
    <w:p>
      <w:pPr>
        <w:pStyle w:val="TextBody"/>
        <w:bidi w:val="0"/>
        <w:spacing w:lineRule="atLeast" w:line="142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3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3"/>
          <w:u w:val="none"/>
          <w:effect w:val="none"/>
        </w:rPr>
        <w:t>COMPENSATION DISCUSSION AND ANALYSIS</w:t>
      </w:r>
    </w:p>
    <w:p>
      <w:pPr>
        <w:pStyle w:val="TextBody"/>
        <w:bidi w:val="0"/>
        <w:spacing w:lineRule="atLeast" w:line="142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2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2"/>
          <w:u w:val="none"/>
          <w:effect w:val="none"/>
        </w:rPr>
        <w:t>DETAILED DISCUSSION AND ANALYSIS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4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24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24"/>
          <w:u w:val="none"/>
          <w:effect w:val="none"/>
        </w:rPr>
        <w:t>I. Objectives and Philosophy of Executive Compensation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Our executive compensation program is designed to drive Take-Two’s mission of producing strong, sustainable financial results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for shareholders by creating the highest quality, most captivating experiences for our consumers. To achieve this objective, we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seek to attract and retain executives who are committed to creativity, efficiency and innovation.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Accordingly, the Compensation Committee has established a market competitive compensation plan for our NEOs that is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designed to:</w:t>
      </w:r>
    </w:p>
    <w:p>
      <w:pPr>
        <w:pStyle w:val="TextBody"/>
        <w:bidi w:val="0"/>
        <w:spacing w:before="0" w:after="0"/>
        <w:jc w:val="left"/>
        <w:rPr>
          <w:shd w:fill="auto" w:val="clear"/>
        </w:rPr>
      </w:pPr>
      <w:r>
        <w:rPr>
          <w:shd w:fill="auto" w:val="clear"/>
        </w:rPr>
        <w:drawing>
          <wp:inline distT="0" distB="0" distL="0" distR="0">
            <wp:extent cx="6595110" cy="1739265"/>
            <wp:effectExtent l="0" t="0" r="0" b="0"/>
            <wp:docPr id="274" name="Image27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4" name="Image274" descr=""/>
                    <pic:cNvPicPr>
                      <a:picLocks noChangeAspect="1" noChangeArrowheads="1"/>
                    </pic:cNvPicPr>
                  </pic:nvPicPr>
                  <pic:blipFill>
                    <a:blip r:embed="rId27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95110" cy="17392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277" w:name="i-274"/>
      <w:bookmarkEnd w:id="277"/>
    </w:p>
    <w:tbl>
      <w:tblPr>
        <w:tblW w:w="4718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4"/>
        <w:gridCol w:w="273"/>
        <w:gridCol w:w="4321"/>
      </w:tblGrid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2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2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3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18745" cy="121920"/>
                  <wp:effectExtent l="0" t="0" r="0" b="0"/>
                  <wp:docPr id="275" name="Image275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5" name="Image275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745" cy="1219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278" w:name="i-275"/>
            <w:bookmarkEnd w:id="278"/>
          </w:p>
        </w:tc>
        <w:tc>
          <w:tcPr>
            <w:tcW w:w="432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Enhance the profitability of the Company and drive</w:t>
            </w: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80" w:before="0" w:after="0"/>
              <w:jc w:val="both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shareholder value creation;</w:t>
            </w:r>
          </w:p>
        </w:tc>
      </w:tr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2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3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18745" cy="121920"/>
                  <wp:effectExtent l="0" t="0" r="0" b="0"/>
                  <wp:docPr id="276" name="Image276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6" name="Image276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745" cy="1219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279" w:name="i-276"/>
            <w:bookmarkEnd w:id="279"/>
          </w:p>
        </w:tc>
        <w:tc>
          <w:tcPr>
            <w:tcW w:w="432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Link a substantial portion of compensation to the</w:t>
            </w: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8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Company’s long-term financial and stock price</w:t>
            </w: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8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performance, thereby creating long-term</w:t>
            </w: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80" w:before="0" w:after="0"/>
              <w:jc w:val="both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shareholder value;</w:t>
            </w:r>
          </w:p>
        </w:tc>
      </w:tr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2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3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18745" cy="121920"/>
                  <wp:effectExtent l="0" t="0" r="0" b="0"/>
                  <wp:docPr id="277" name="Image277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7" name="Image277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745" cy="1219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280" w:name="i-277"/>
            <w:bookmarkEnd w:id="280"/>
          </w:p>
        </w:tc>
        <w:tc>
          <w:tcPr>
            <w:tcW w:w="432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Attract, motivate, and retain highly</w:t>
            </w: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80" w:before="0" w:after="0"/>
              <w:jc w:val="both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qualified individuals;</w:t>
            </w:r>
          </w:p>
        </w:tc>
      </w:tr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2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18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88"/>
        <w:gridCol w:w="4576"/>
        <w:gridCol w:w="154"/>
      </w:tblGrid>
      <w:tr>
        <w:trPr/>
        <w:tc>
          <w:tcPr>
            <w:tcW w:w="2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88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18745" cy="121920"/>
                  <wp:effectExtent l="0" t="0" r="0" b="0"/>
                  <wp:docPr id="278" name="Image278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8" name="Image278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745" cy="1219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281" w:name="i-278"/>
            <w:bookmarkEnd w:id="281"/>
          </w:p>
        </w:tc>
        <w:tc>
          <w:tcPr>
            <w:tcW w:w="457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Reward each NEO’s contribution to the Company’s</w:t>
            </w: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8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profitability and growth; individual initiative, leadership</w:t>
            </w: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80" w:before="0" w:after="0"/>
              <w:jc w:val="both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and achievements; and management of risks; and</w:t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88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18745" cy="121920"/>
                  <wp:effectExtent l="0" t="0" r="0" b="0"/>
                  <wp:docPr id="279" name="Image279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9" name="Image279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745" cy="1219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282" w:name="i-279"/>
            <w:bookmarkEnd w:id="282"/>
          </w:p>
        </w:tc>
        <w:tc>
          <w:tcPr>
            <w:tcW w:w="457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Motivate NEOs to build a career at the Company and</w:t>
            </w: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80" w:before="0" w:after="0"/>
              <w:jc w:val="both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8"/>
                <w:u w:val="none"/>
                <w:effect w:val="none"/>
              </w:rPr>
              <w:t>to contribute to our future success.</w:t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Our compensation program’s design, and in particular the use of equity awards as a key incentive element, establishes strong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links between our creative teams and long-term value creation for shareholders. Our compensation program reflects the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importance of creative talent to our business and enables us to retain and incentivize these groups. As a result of the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importance we place on equity incentives, Take-Two may, in some years, have higher equity usage for share plans than some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of our peers; however, for the past three fiscal years we have been below the 50th percentile of our peer group. The Board of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Directors periodically authorizes share repurchases when it believes such actions are in the best interest of the shareholders;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these repurchases directly reduce the number of the Company’s outstanding shares.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4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24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24"/>
          <w:u w:val="none"/>
          <w:effect w:val="none"/>
        </w:rPr>
        <w:t>II. Competitive Market Positioning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The Compensation Committee determines pay levels for our NEOs based on a number of factors, including the individual’s role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and responsibilities within the Company, the individual’s experience and expertise, historical compensation actually realized by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the individual, pay levels in the marketplace for similar positions, and performance of the individual and the Company as a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whole. In determining pay levels, the Compensation Committee considers all forms of compensation and benefits, including the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mix thereof.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After consideration of data collected on external competitive levels of compensation and internal relationships within the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executive group, the Compensation Committee makes decisions regarding each individual NEO’s target total compensation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opportunity based on the need to attract, motivate and retain an experienced and effective management team.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B0295B"/>
          <w:sz w:val="20"/>
          <w:u w:val="none"/>
          <w:effect w:val="none"/>
        </w:rPr>
        <w:t>Fiscal 2026</w:t>
      </w:r>
      <w:r>
        <w:rPr>
          <w:caps w:val="false"/>
          <w:smallCaps w:val="false"/>
          <w:strike w:val="false"/>
          <w:dstrike w:val="false"/>
          <w:color w:val="B0295B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B0295B"/>
          <w:sz w:val="20"/>
          <w:u w:val="none"/>
          <w:effect w:val="none"/>
        </w:rPr>
        <w:t>Peer Group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Each year, the Compensation Committee, with the assistance of its independent compensation consultant, Frederic W. Cook &amp;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Co., Inc. (“FW Cook”), reviews and approves a peer group that is used to provide relevant market context for the Committee’s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decisions. In doing so, the Compensation Committee seeks to approve a peer group that is representative of the sector in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which we operate and includes companies with similar revenue and market capitalization as Take-Two.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For fiscal 2026, the Compensation Committee approved a peer group of 18 companies. The Committee removed Peloton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Interactive, Inc., due to its declining revenues and market capitalization (small size), and added Live Nation Entertainment Inc.,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TKO Group Holdings Inc. and Warner Bros. Discovery, Inc. These additions were selected based on their relevance as leading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media and entertainment content producers and distributors and their comparability to Take-Two on key size measures,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including revenue and market capitalization.</w:t>
      </w:r>
    </w:p>
    <w:tbl>
      <w:tblPr>
        <w:tblW w:w="4982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4651"/>
        <w:gridCol w:w="331"/>
      </w:tblGrid>
      <w:tr>
        <w:trPr/>
        <w:tc>
          <w:tcPr>
            <w:tcW w:w="46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651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sz w:val="24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TAKE-TWO INTERACTIVE SOFTWARE, INC.   |   2026</w:t>
            </w:r>
            <w:r>
              <w:rPr>
                <w:caps w:val="false"/>
                <w:smallCaps w:val="false"/>
                <w:strike w:val="false"/>
                <w:dstrike w:val="false"/>
                <w:color w:val="18333C"/>
                <w:sz w:val="24"/>
                <w:u w:val="none"/>
                <w:effect w:val="none"/>
              </w:rPr>
              <w:t xml:space="preserve"> 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 xml:space="preserve">Proxy Statement </w:t>
            </w:r>
          </w:p>
        </w:tc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35</w:t>
            </w:r>
          </w:p>
        </w:tc>
      </w:tr>
    </w:tbl>
    <w:p>
      <w:pPr>
        <w:pStyle w:val="TextBody"/>
        <w:bidi w:val="0"/>
        <w:spacing w:lineRule="atLeast" w:line="142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3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3"/>
          <w:u w:val="none"/>
          <w:effect w:val="none"/>
        </w:rPr>
        <w:t>COMPENSATION DISCUSSION AND ANALYSIS</w:t>
      </w:r>
    </w:p>
    <w:p>
      <w:pPr>
        <w:pStyle w:val="TextBody"/>
        <w:bidi w:val="0"/>
        <w:spacing w:lineRule="atLeast" w:line="142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2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2"/>
          <w:u w:val="none"/>
          <w:effect w:val="none"/>
        </w:rPr>
        <w:t>DETAILED DISCUSSION AND ANALYSIS</w:t>
      </w:r>
    </w:p>
    <w:tbl>
      <w:tblPr>
        <w:tblW w:w="8689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816"/>
        <w:gridCol w:w="1981"/>
        <w:gridCol w:w="2086"/>
        <w:gridCol w:w="2806"/>
      </w:tblGrid>
      <w:tr>
        <w:trPr/>
        <w:tc>
          <w:tcPr>
            <w:tcW w:w="181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98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8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8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816" w:type="dxa"/>
            <w:tcBorders/>
            <w:shd w:fill="64BFA6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981" w:type="dxa"/>
            <w:tcBorders/>
            <w:shd w:fill="64BFA6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86" w:type="dxa"/>
            <w:tcBorders/>
            <w:shd w:fill="64BFA6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806" w:type="dxa"/>
            <w:tcBorders/>
            <w:shd w:fill="64BFA6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816" w:type="dxa"/>
            <w:tcBorders/>
            <w:shd w:fill="64BFA6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Videogame</w:t>
            </w:r>
          </w:p>
        </w:tc>
        <w:tc>
          <w:tcPr>
            <w:tcW w:w="4067" w:type="dxa"/>
            <w:gridSpan w:val="2"/>
            <w:tcBorders/>
            <w:shd w:fill="64BFA6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Internet &amp; Technology</w:t>
            </w:r>
          </w:p>
        </w:tc>
        <w:tc>
          <w:tcPr>
            <w:tcW w:w="2806" w:type="dxa"/>
            <w:tcBorders/>
            <w:shd w:fill="64BFA6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Entertainment &amp; Leisure</w:t>
            </w:r>
          </w:p>
        </w:tc>
      </w:tr>
      <w:tr>
        <w:trPr/>
        <w:tc>
          <w:tcPr>
            <w:tcW w:w="1816" w:type="dxa"/>
            <w:tcBorders/>
            <w:shd w:fill="64BFA6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981" w:type="dxa"/>
            <w:tcBorders/>
            <w:shd w:fill="64BFA6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86" w:type="dxa"/>
            <w:tcBorders/>
            <w:shd w:fill="64BFA6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806" w:type="dxa"/>
            <w:tcBorders/>
            <w:shd w:fill="64BFA6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81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both"/>
              <w:rPr>
                <w:u w:val="singl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18333C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Electronic Arts Inc.</w:t>
            </w:r>
          </w:p>
        </w:tc>
        <w:tc>
          <w:tcPr>
            <w:tcW w:w="198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both"/>
              <w:rPr>
                <w:u w:val="singl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18333C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Booking Holdings Inc.</w:t>
            </w:r>
          </w:p>
        </w:tc>
        <w:tc>
          <w:tcPr>
            <w:tcW w:w="208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both"/>
              <w:rPr>
                <w:u w:val="singl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18333C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Match Group, Inc.</w:t>
            </w:r>
          </w:p>
        </w:tc>
        <w:tc>
          <w:tcPr>
            <w:tcW w:w="280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both"/>
              <w:rPr>
                <w:u w:val="singl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18333C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DraftKings Inc.</w:t>
            </w: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 xml:space="preserve"> </w:t>
            </w:r>
          </w:p>
        </w:tc>
      </w:tr>
      <w:tr>
        <w:trPr/>
        <w:tc>
          <w:tcPr>
            <w:tcW w:w="181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both"/>
              <w:rPr>
                <w:u w:val="singl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18333C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Playtika Ltd.</w:t>
            </w:r>
          </w:p>
        </w:tc>
        <w:tc>
          <w:tcPr>
            <w:tcW w:w="198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both"/>
              <w:rPr>
                <w:u w:val="singl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18333C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eBay Inc.</w:t>
            </w:r>
          </w:p>
        </w:tc>
        <w:tc>
          <w:tcPr>
            <w:tcW w:w="208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both"/>
              <w:rPr>
                <w:u w:val="singl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18333C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Roku, Inc.</w:t>
            </w:r>
          </w:p>
        </w:tc>
        <w:tc>
          <w:tcPr>
            <w:tcW w:w="280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both"/>
              <w:rPr>
                <w:u w:val="singl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18333C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Fox Corporation</w:t>
            </w:r>
          </w:p>
        </w:tc>
      </w:tr>
      <w:tr>
        <w:trPr/>
        <w:tc>
          <w:tcPr>
            <w:tcW w:w="181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18333C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z w:val="18"/>
              </w:rPr>
              <w:t>Roblox Corporation</w:t>
            </w:r>
          </w:p>
        </w:tc>
        <w:tc>
          <w:tcPr>
            <w:tcW w:w="198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both"/>
              <w:rPr>
                <w:u w:val="singl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18333C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Expedia Group, Inc.</w:t>
            </w:r>
          </w:p>
        </w:tc>
        <w:tc>
          <w:tcPr>
            <w:tcW w:w="208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both"/>
              <w:rPr>
                <w:u w:val="singl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18333C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Sirius XM Holdings Inc.</w:t>
            </w:r>
          </w:p>
        </w:tc>
        <w:tc>
          <w:tcPr>
            <w:tcW w:w="280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both"/>
              <w:rPr>
                <w:u w:val="singl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18333C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Hasbro, Inc.</w:t>
            </w:r>
          </w:p>
        </w:tc>
      </w:tr>
      <w:tr>
        <w:trPr/>
        <w:tc>
          <w:tcPr>
            <w:tcW w:w="181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98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8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80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both"/>
              <w:rPr>
                <w:u w:val="singl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18333C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Live Nation Entertainment Inc. *</w:t>
            </w:r>
          </w:p>
        </w:tc>
      </w:tr>
      <w:tr>
        <w:trPr/>
        <w:tc>
          <w:tcPr>
            <w:tcW w:w="181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98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8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80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both"/>
              <w:rPr>
                <w:u w:val="singl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18333C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Mattel, Inc.</w:t>
            </w:r>
          </w:p>
        </w:tc>
      </w:tr>
      <w:tr>
        <w:trPr/>
        <w:tc>
          <w:tcPr>
            <w:tcW w:w="181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98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8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80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both"/>
              <w:rPr>
                <w:u w:val="singl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18333C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Paramount Global</w:t>
            </w: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 xml:space="preserve"> </w:t>
            </w:r>
          </w:p>
        </w:tc>
      </w:tr>
      <w:tr>
        <w:trPr/>
        <w:tc>
          <w:tcPr>
            <w:tcW w:w="181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98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8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80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both"/>
              <w:rPr>
                <w:u w:val="singl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18333C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TKO Group Holdings Inc.*</w:t>
            </w:r>
          </w:p>
        </w:tc>
      </w:tr>
      <w:tr>
        <w:trPr/>
        <w:tc>
          <w:tcPr>
            <w:tcW w:w="181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98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8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80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both"/>
              <w:rPr>
                <w:u w:val="singl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18333C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Warner Bros. Discovery, Inc.*</w:t>
            </w:r>
          </w:p>
        </w:tc>
      </w:tr>
      <w:tr>
        <w:trPr/>
        <w:tc>
          <w:tcPr>
            <w:tcW w:w="1816" w:type="dxa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981" w:type="dxa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86" w:type="dxa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806" w:type="dxa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both"/>
              <w:rPr>
                <w:u w:val="singl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18333C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Warner Music Group Corp.</w:t>
            </w:r>
          </w:p>
        </w:tc>
      </w:tr>
    </w:tbl>
    <w:p>
      <w:pPr>
        <w:pStyle w:val="TextBody"/>
        <w:bidi w:val="0"/>
        <w:spacing w:lineRule="atLeast" w:line="142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*Added to peer group for fiscal 2026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The Compensation Committee believes the peer group represents the most relevant set of publicly-traded companies for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executive compensation benchmarking purposes. However, Take-Two has a limited number of direct public-company peers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within the videogame industry, as many competitors are privately held or incorporated in foreign jurisdictions that do not require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public disclosure of executive compensation information. This dynamic creates added challenges in constructing a statistically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reliable peer group and requires the Company to include its limited number of direct competitors while also broadening the peer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universe to encompass internet and technology, media and entertainment, and leisure companies with which we compete for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executive talent. While imperfect, the Compensation Committee believes the resulting peer group is representative of the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markets in which the Company operates and provides an appropriate a balance of companies with similar revenue (generally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one-third to three times that of Take-Two) and market capitalization (generally one-quarter to four times that of Take-Two).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For fiscal 2027, as part of its annual review process, the Compensation Committee, with the assistance of FW Cook, reviewed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the peer group in April 2026 and determined that no changes were warranted given the continued reasonableness of the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existing 18-company group.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B0295B"/>
          <w:sz w:val="20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B0295B"/>
          <w:sz w:val="20"/>
          <w:u w:val="none"/>
          <w:effect w:val="none"/>
        </w:rPr>
        <w:t>Target Determinations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The Compensation Committee annually reviews total NEO compensation as compared to competitive market data. For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purposes of calculating annual target compensation for any fiscal year, the Compensation Committee includes base salary,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target cash bonus, target long-term incentive compensation and any special awards.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4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24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24"/>
          <w:u w:val="none"/>
          <w:effect w:val="none"/>
        </w:rPr>
        <w:t>III. Compensation to Executive Chairman and CEO and President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Take-Two has maintained a long-standing management relationship with ZMC since 2007, under which ZMC provides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executive management and other services to the Company. Our Executive Chairman and CEO, Strauss Zelnick, and our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President, Karl Slatoff, serve in their current roles pursuant to the 2022 Management Agreement with ZMC. Mr. Zelnick has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served as Executive Chairman since 2008 and our CEO since 2011, while Mr. Slatoff has served as President since May 2013.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The Board of Directors believes the Company’s management structure and relationship with ZMC has been critical to building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the Company’s franchises, improving profitability, strengthening the balance sheet, and providing disciplined management.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Shareholder feedback has underscored the importance of maintaining this relationship with ZMC.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Since engaging ZMC in 2007, the Company has evolved from single franchise dependency into a diversified global interactive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entertainment company with a broad portfolio of successful franchises and a leading mobile business. The Company has also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expanded geographically, in digital distribution and with new business models, and grown strategically, including the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transformative acquisition of Zynga in fiscal 2023.</w:t>
      </w:r>
    </w:p>
    <w:tbl>
      <w:tblPr>
        <w:tblW w:w="493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301"/>
        <w:gridCol w:w="4636"/>
      </w:tblGrid>
      <w:tr>
        <w:trPr/>
        <w:tc>
          <w:tcPr>
            <w:tcW w:w="30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0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36</w:t>
            </w:r>
          </w:p>
        </w:tc>
        <w:tc>
          <w:tcPr>
            <w:tcW w:w="4636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sz w:val="24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TAKE-TWO INTERACTIVE SOFTWARE, INC.   |   2026</w:t>
            </w:r>
            <w:r>
              <w:rPr>
                <w:caps w:val="false"/>
                <w:smallCaps w:val="false"/>
                <w:strike w:val="false"/>
                <w:dstrike w:val="false"/>
                <w:color w:val="18333C"/>
                <w:sz w:val="24"/>
                <w:u w:val="none"/>
                <w:effect w:val="none"/>
              </w:rPr>
              <w:t xml:space="preserve"> 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Proxy Statement</w:t>
            </w:r>
          </w:p>
        </w:tc>
      </w:tr>
    </w:tbl>
    <w:p>
      <w:pPr>
        <w:pStyle w:val="TextBody"/>
        <w:bidi w:val="0"/>
        <w:spacing w:lineRule="atLeast" w:line="142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3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3"/>
          <w:u w:val="none"/>
          <w:effect w:val="none"/>
        </w:rPr>
        <w:t>COMPENSATION DISCUSSION AND ANALYSIS</w:t>
      </w:r>
    </w:p>
    <w:p>
      <w:pPr>
        <w:pStyle w:val="TextBody"/>
        <w:bidi w:val="0"/>
        <w:spacing w:lineRule="atLeast" w:line="142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2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2"/>
          <w:u w:val="none"/>
          <w:effect w:val="none"/>
        </w:rPr>
        <w:t>DETAILED DISCUSSION AND ANALYSIS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On May 3, 2022, the Company entered into the 2022 Management Agreement, which became effective on May 23, 2022 (the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caps w:val="false"/>
          <w:smallCaps w:val="false"/>
          <w:strike w:val="false"/>
          <w:dstrike w:val="false"/>
          <w:u w:val="none"/>
          <w:effect w:val="none"/>
        </w:rPr>
        <w:t>“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Effective Date”) and, superseded the 2017 Management Agreement. Fees and incentives paid to ZMC during fiscal 2026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are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detailed below under “Fiscal 2026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Fees and Incentives to ZMC.” Based on shareholder feedback, the Compensation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Committee incorporated several enhancements into the 2022 Management Agreement to increase the proportion of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compensation that is performance-based and further link the compensation paid to our CEO and President with long-term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shareholder value creation, including:</w:t>
      </w:r>
    </w:p>
    <w:p>
      <w:pPr>
        <w:pStyle w:val="TextBody"/>
        <w:bidi w:val="0"/>
        <w:spacing w:before="0" w:after="0"/>
        <w:jc w:val="left"/>
        <w:rPr>
          <w:shd w:fill="auto" w:val="clear"/>
        </w:rPr>
      </w:pPr>
      <w:r>
        <w:rPr>
          <w:shd w:fill="auto" w:val="clear"/>
        </w:rPr>
        <w:drawing>
          <wp:inline distT="0" distB="0" distL="0" distR="0">
            <wp:extent cx="6588125" cy="5248275"/>
            <wp:effectExtent l="0" t="0" r="0" b="0"/>
            <wp:docPr id="280" name="Image280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0" name="Image280" descr=""/>
                    <pic:cNvPicPr>
                      <a:picLocks noChangeAspect="1" noChangeArrowheads="1"/>
                    </pic:cNvPicPr>
                  </pic:nvPicPr>
                  <pic:blipFill>
                    <a:blip r:embed="rId28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88125" cy="5248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283" w:name="i-280"/>
      <w:bookmarkEnd w:id="283"/>
    </w:p>
    <w:tbl>
      <w:tblPr>
        <w:tblW w:w="10119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4"/>
        <w:gridCol w:w="9841"/>
        <w:gridCol w:w="154"/>
      </w:tblGrid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8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8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84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both"/>
              <w:rPr>
                <w:u w:val="singl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18333C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Increased emphasis on performance-based compensation.</w:t>
            </w: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> 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Performance-based compensation has continued to be</w:t>
            </w: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80" w:before="0" w:after="0"/>
              <w:jc w:val="both"/>
              <w:rPr>
                <w:sz w:val="24"/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80% at maximum achievement for fiscal 2026, and performance-based shares continued to be 67% of total equity</w:t>
            </w:r>
            <w:r>
              <w:rPr>
                <w:caps w:val="false"/>
                <w:smallCaps w:val="false"/>
                <w:strike w:val="false"/>
                <w:dstrike w:val="false"/>
                <w:sz w:val="24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80" w:before="0" w:after="0"/>
              <w:jc w:val="both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grant, up from 55% under the prior agreement.</w:t>
            </w:r>
          </w:p>
          <w:p>
            <w:pPr>
              <w:pStyle w:val="TableContents"/>
              <w:bidi w:val="0"/>
              <w:spacing w:lineRule="atLeast" w:line="180" w:before="0" w:after="0"/>
              <w:jc w:val="both"/>
              <w:rPr>
                <w:u w:val="singl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18333C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Longer-term performance measurement and vesting periods.</w:t>
            </w: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> 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The performance measurement periods for both</w:t>
            </w: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8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RCS and relative TSR were lengthened from two years to three years, and time-based equity awards were lengthened</w:t>
            </w: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80" w:before="0" w:after="0"/>
              <w:jc w:val="both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from two-year cliff vesting to ratable vesting over three years.</w:t>
            </w:r>
          </w:p>
          <w:p>
            <w:pPr>
              <w:pStyle w:val="TableContents"/>
              <w:bidi w:val="0"/>
              <w:spacing w:lineRule="atLeast" w:line="180" w:before="0" w:after="0"/>
              <w:jc w:val="both"/>
              <w:rPr>
                <w:u w:val="singl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18333C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Enhanced focus on recurrent consumer spending metric, which is generated from ongoing consumer</w:t>
            </w: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8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engagement and includes revenue from virtual currency, add-on content, and in-game purchases, continues</w:t>
            </w: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8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to focus executives’ attention on achieving key strategic goals.</w:t>
            </w: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> 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The weighting of the RCS metric increased from</w:t>
            </w: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8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12.5% to 25% of performance-based equity grants. The Compensation Committee believes RCS is an important</w:t>
            </w: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8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 xml:space="preserve">measure of the performance of the Company’s mobile business and key franchises, including </w:t>
            </w:r>
            <w:r>
              <w:rPr>
                <w:rFonts w:ascii="Arial;sans-serif" w:hAnsi="Arial;sans-serif"/>
                <w:b w:val="false"/>
                <w:i/>
                <w:strike w:val="false"/>
                <w:dstrike w:val="false"/>
                <w:sz w:val="18"/>
                <w:u w:val="none"/>
                <w:effect w:val="none"/>
              </w:rPr>
              <w:t>NBA 2K</w:t>
            </w: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 xml:space="preserve"> 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 xml:space="preserve">and </w:t>
            </w:r>
            <w:r>
              <w:rPr>
                <w:rFonts w:ascii="Arial;sans-serif" w:hAnsi="Arial;sans-serif"/>
                <w:b w:val="false"/>
                <w:i/>
                <w:strike w:val="false"/>
                <w:dstrike w:val="false"/>
                <w:sz w:val="18"/>
                <w:u w:val="none"/>
                <w:effect w:val="none"/>
              </w:rPr>
              <w:t>Grand Theft</w:t>
            </w:r>
            <w:r>
              <w:rPr>
                <w:strike w:val="false"/>
                <w:dstrike w:val="false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8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/>
                <w:strike w:val="false"/>
                <w:dstrike w:val="false"/>
                <w:sz w:val="18"/>
                <w:u w:val="none"/>
                <w:effect w:val="none"/>
              </w:rPr>
              <w:t xml:space="preserve">Auto Online, 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and supports the Company’s objective of delivering more consistent long-term growth. The remaining</w:t>
            </w: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80" w:before="0" w:after="0"/>
              <w:jc w:val="both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75% of performance-based equity awards continue to vest based on relative TSR performance.</w:t>
            </w:r>
          </w:p>
          <w:p>
            <w:pPr>
              <w:pStyle w:val="TableContents"/>
              <w:bidi w:val="0"/>
              <w:spacing w:lineRule="atLeast" w:line="180" w:before="0" w:after="0"/>
              <w:jc w:val="both"/>
              <w:rPr>
                <w:u w:val="singl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18333C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More rigorous relative TSR design.</w:t>
            </w: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> 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The relative TSR comparator group was updated from the Nasdaq</w:t>
            </w: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8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Composite Index to the Nasdaq-100 Index, while maintaining rigorous vesting thresholds, including a minimum</w:t>
            </w: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8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performance requirement at the 40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2"/>
                <w:u w:val="none"/>
                <w:effect w:val="none"/>
              </w:rPr>
              <w:t>th 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percentile before any of the TSR shares began to vest, target performance of</w:t>
            </w: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8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50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2"/>
                <w:u w:val="none"/>
                <w:effect w:val="none"/>
              </w:rPr>
              <w:t>th 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percentile, and maximum performance at the 75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2"/>
                <w:u w:val="none"/>
                <w:effect w:val="none"/>
              </w:rPr>
              <w:t>th 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percentile relative performance. The relative TSR performance</w:t>
            </w: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8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payout schedule reflects the Board of Directors’ continued commitment to a strong pay for performance approach with</w:t>
            </w: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8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rigorous multi-year goal setting that in most cases exceeds minimum performance thresholds in place among our</w:t>
            </w: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80" w:before="0" w:after="0"/>
              <w:jc w:val="both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compensation peers.</w:t>
            </w:r>
          </w:p>
          <w:p>
            <w:pPr>
              <w:pStyle w:val="TableContents"/>
              <w:bidi w:val="0"/>
              <w:spacing w:lineRule="atLeast" w:line="180" w:before="0" w:after="0"/>
              <w:jc w:val="both"/>
              <w:rPr>
                <w:u w:val="singl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18333C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Increased disclosure.</w:t>
            </w: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> 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Enhanced transparency, including disclosure of individual fee caps paid by ZMC to</w:t>
            </w: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80" w:before="0" w:after="0"/>
              <w:jc w:val="both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Messrs. Zelnick and Slatoff for their services to Take-Two.</w:t>
            </w:r>
          </w:p>
          <w:p>
            <w:pPr>
              <w:pStyle w:val="TableContents"/>
              <w:bidi w:val="0"/>
              <w:spacing w:lineRule="atLeast" w:line="180" w:before="0" w:after="0"/>
              <w:jc w:val="both"/>
              <w:rPr>
                <w:u w:val="singl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18333C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No TSR “catch-up” provision.</w:t>
            </w: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> 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Performance-based equity grants are based solely on relative TSR and RCS</w:t>
            </w: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80" w:before="0" w:after="0"/>
              <w:jc w:val="both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performance and do not include a TSR “catch-up” feature.</w:t>
            </w:r>
          </w:p>
          <w:p>
            <w:pPr>
              <w:pStyle w:val="TableContents"/>
              <w:bidi w:val="0"/>
              <w:spacing w:lineRule="atLeast" w:line="180" w:before="0" w:after="0"/>
              <w:jc w:val="both"/>
              <w:rPr>
                <w:u w:val="singl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18333C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No automatic annual fee increases.</w:t>
            </w: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> 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The Management Agreement does not provide for automatic increases to the</w:t>
            </w: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80" w:before="0" w:after="0"/>
              <w:jc w:val="both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annual fee.</w:t>
            </w:r>
          </w:p>
          <w:p>
            <w:pPr>
              <w:pStyle w:val="TableContents"/>
              <w:bidi w:val="0"/>
              <w:spacing w:lineRule="atLeast" w:line="180" w:before="0" w:after="0"/>
              <w:jc w:val="both"/>
              <w:rPr>
                <w:u w:val="singl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18333C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Continued annual grant structure.</w:t>
            </w: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> 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Agreements prior to the 2017 Management Agreement included an up-front equity</w:t>
            </w: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8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grant at the commencement of the agreement. The 2022 Management Agreement, like the 2017 Management</w:t>
            </w: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8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Agreement, provides for annual equity grants rather than a large up-front equity award, with future grants subject to</w:t>
            </w: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80" w:before="0" w:after="0"/>
              <w:jc w:val="both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Compensation Committee approval.</w:t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8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The target compensation opportunity under the Management Agreement reflects the Company’s need for senior leaders with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expertise spanning financial management, technology, and creative talent. This unique combination of skills limits the pool of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qualified candidates and supports the Board’s decision to provide a competitive compensation opportunity for ZMC. Consistent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with the Company’s pay-for-performance philosophy, a substantial portion of this compensation opportunity remains contingent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on achieving superior performance.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B0295B"/>
          <w:sz w:val="20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B0295B"/>
          <w:sz w:val="20"/>
          <w:u w:val="none"/>
          <w:effect w:val="none"/>
        </w:rPr>
        <w:t>Services Provided by ZMC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The provisions of the Management Agreement establish the payments and benefits to which ZMC is entitled as consideration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for providing certain valuable and unique services. These services include: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caps w:val="false"/>
          <w:smallCaps w:val="false"/>
          <w:strike w:val="false"/>
          <w:dstrike w:val="false"/>
          <w:color w:val="18333C"/>
          <w:u w:val="none"/>
          <w:effect w:val="non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Executive management and leadership delivered through the services of Executive Chairman and CEO Strauss Zelnick and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President Karl Slatoff.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caps w:val="false"/>
          <w:smallCaps w:val="false"/>
          <w:strike w:val="false"/>
          <w:dstrike w:val="false"/>
          <w:color w:val="18333C"/>
          <w:u w:val="none"/>
          <w:effect w:val="non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Resources of other ZMC partners that may provide services and advice to the Company on an as-needed basis.</w:t>
      </w:r>
    </w:p>
    <w:tbl>
      <w:tblPr>
        <w:tblW w:w="4982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4651"/>
        <w:gridCol w:w="331"/>
      </w:tblGrid>
      <w:tr>
        <w:trPr/>
        <w:tc>
          <w:tcPr>
            <w:tcW w:w="46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651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sz w:val="24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TAKE-TWO INTERACTIVE SOFTWARE, INC.   |   2026</w:t>
            </w:r>
            <w:r>
              <w:rPr>
                <w:caps w:val="false"/>
                <w:smallCaps w:val="false"/>
                <w:strike w:val="false"/>
                <w:dstrike w:val="false"/>
                <w:color w:val="18333C"/>
                <w:sz w:val="24"/>
                <w:u w:val="none"/>
                <w:effect w:val="none"/>
              </w:rPr>
              <w:t xml:space="preserve"> 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 xml:space="preserve">Proxy Statement </w:t>
            </w:r>
          </w:p>
        </w:tc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37</w:t>
            </w:r>
          </w:p>
        </w:tc>
      </w:tr>
    </w:tbl>
    <w:p>
      <w:pPr>
        <w:pStyle w:val="TextBody"/>
        <w:bidi w:val="0"/>
        <w:spacing w:lineRule="atLeast" w:line="142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3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3"/>
          <w:u w:val="none"/>
          <w:effect w:val="none"/>
        </w:rPr>
        <w:t>COMPENSATION DISCUSSION AND ANALYSIS</w:t>
      </w:r>
    </w:p>
    <w:p>
      <w:pPr>
        <w:pStyle w:val="TextBody"/>
        <w:bidi w:val="0"/>
        <w:spacing w:lineRule="atLeast" w:line="142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2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2"/>
          <w:u w:val="none"/>
          <w:effect w:val="none"/>
        </w:rPr>
        <w:t>DETAILED DISCUSSION AND ANALYSIS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caps w:val="false"/>
          <w:smallCaps w:val="false"/>
          <w:strike w:val="false"/>
          <w:dstrike w:val="false"/>
          <w:color w:val="18333C"/>
          <w:u w:val="none"/>
          <w:effect w:val="non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First access to certain deal opportunities as they are identified by ZMC.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caps w:val="false"/>
          <w:smallCaps w:val="false"/>
          <w:strike w:val="false"/>
          <w:dstrike w:val="false"/>
          <w:color w:val="18333C"/>
          <w:u w:val="none"/>
          <w:effect w:val="non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Elevated market positioning due to the industry relationships of ZMC.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The Board of Directors and Compensation Committee believe that the services provided by ZMC, inclusive of the services of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Mr. Zelnick and Mr. Slatoff, are a competitive advantage to Take-Two. The Board of Directors and the Compensation Committee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regularly evaluate the relationship with ZMC to ensure that it is still the appropriate management structure for the Company. To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facilitate this review: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caps w:val="false"/>
          <w:smallCaps w:val="false"/>
          <w:strike w:val="false"/>
          <w:dstrike w:val="false"/>
          <w:color w:val="18333C"/>
          <w:u w:val="none"/>
          <w:effect w:val="non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At least annually, the Compensation Committee interviews a broad spectrum of Company management to seek feedback on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the performance of Mr. Zelnick and Mr. Slatoff, as well as the other NEOs, and the relationship with ZMC, generally.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caps w:val="false"/>
          <w:smallCaps w:val="false"/>
          <w:strike w:val="false"/>
          <w:dstrike w:val="false"/>
          <w:color w:val="18333C"/>
          <w:u w:val="none"/>
          <w:effect w:val="non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Feedback from these 360-degree interviews with Company management is discussed in executive sessions of the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independent members of the Board of Directors.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caps w:val="false"/>
          <w:smallCaps w:val="false"/>
          <w:strike w:val="false"/>
          <w:dstrike w:val="false"/>
          <w:color w:val="18333C"/>
          <w:u w:val="none"/>
          <w:effect w:val="non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The Lead Independent Director regularly engages with members of the senior management team to discuss the business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strategy of the Company in greater detail and provide additional guidance to such members of management.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caps w:val="false"/>
          <w:smallCaps w:val="false"/>
          <w:strike w:val="false"/>
          <w:dstrike w:val="false"/>
          <w:color w:val="18333C"/>
          <w:u w:val="none"/>
          <w:effect w:val="non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The Company engages in year-round shareholder outreach during which the 2022 Management Agreement and services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provided by ZMC are a topic of discussion, and the results of which are reported to the Board.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B0295B"/>
          <w:sz w:val="20"/>
          <w:u w:val="none"/>
          <w:effect w:val="none"/>
        </w:rPr>
        <w:t xml:space="preserve">Fiscal </w:t>
      </w:r>
      <w:bookmarkStart w:id="284" w:name="if9a9744ff04c4dc0a4cec436945ba676_10644"/>
      <w:bookmarkEnd w:id="284"/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B0295B"/>
          <w:sz w:val="20"/>
          <w:u w:val="none"/>
          <w:effect w:val="none"/>
        </w:rPr>
        <w:t>2026</w:t>
      </w:r>
      <w:r>
        <w:rPr>
          <w:caps w:val="false"/>
          <w:smallCaps w:val="false"/>
          <w:strike w:val="false"/>
          <w:dstrike w:val="false"/>
          <w:color w:val="B0295B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B0295B"/>
          <w:sz w:val="20"/>
          <w:u w:val="none"/>
          <w:effect w:val="none"/>
        </w:rPr>
        <w:t>Fees and Incentives to ZMC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During fiscal 2026, and in accordance with the 2022 Management Agreement, ZMC received an annual management fee, was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eligible to earn an annual performance-based incentive tied to an objective Company performance measure, and received a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long-term incentive equity grant consisting of both performance-based and time-based vesting RSUs.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Compensation to ZMC in fiscal 2026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under the 2022 Management Agreement is summarized below:</w:t>
      </w:r>
    </w:p>
    <w:tbl>
      <w:tblPr>
        <w:tblW w:w="824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471"/>
        <w:gridCol w:w="226"/>
        <w:gridCol w:w="109"/>
        <w:gridCol w:w="1441"/>
        <w:gridCol w:w="226"/>
        <w:gridCol w:w="109"/>
        <w:gridCol w:w="1171"/>
        <w:gridCol w:w="226"/>
        <w:gridCol w:w="109"/>
        <w:gridCol w:w="1051"/>
        <w:gridCol w:w="226"/>
        <w:gridCol w:w="109"/>
        <w:gridCol w:w="1771"/>
      </w:tblGrid>
      <w:tr>
        <w:trPr/>
        <w:tc>
          <w:tcPr>
            <w:tcW w:w="14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471" w:type="dxa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Annual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Management Fee</w:t>
            </w:r>
          </w:p>
        </w:tc>
        <w:tc>
          <w:tcPr>
            <w:tcW w:w="226" w:type="dxa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41" w:type="dxa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Annual Incentive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Compensation</w:t>
            </w:r>
          </w:p>
        </w:tc>
        <w:tc>
          <w:tcPr>
            <w:tcW w:w="226" w:type="dxa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1" w:type="dxa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Performance-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Based RSUs</w:t>
            </w:r>
          </w:p>
        </w:tc>
        <w:tc>
          <w:tcPr>
            <w:tcW w:w="226" w:type="dxa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51" w:type="dxa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Time-Based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RSUs</w:t>
            </w:r>
          </w:p>
        </w:tc>
        <w:tc>
          <w:tcPr>
            <w:tcW w:w="226" w:type="dxa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71" w:type="dxa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Total Compensation</w:t>
            </w:r>
          </w:p>
        </w:tc>
      </w:tr>
      <w:tr>
        <w:trPr/>
        <w:tc>
          <w:tcPr>
            <w:tcW w:w="1471" w:type="dxa"/>
            <w:tcBorders>
              <w:top w:val="single" w:sz="4" w:space="0" w:color="18333C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$3,300,000</w:t>
            </w:r>
          </w:p>
        </w:tc>
        <w:tc>
          <w:tcPr>
            <w:tcW w:w="226" w:type="dxa"/>
            <w:tcBorders>
              <w:top w:val="single" w:sz="4" w:space="0" w:color="18333C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1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1"/>
                <w:u w:val="none"/>
                <w:effect w:val="none"/>
              </w:rPr>
              <w:t>(1)</w:t>
            </w:r>
          </w:p>
        </w:tc>
        <w:tc>
          <w:tcPr>
            <w:tcW w:w="109" w:type="dxa"/>
            <w:tcBorders>
              <w:top w:val="single" w:sz="4" w:space="0" w:color="18333C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41" w:type="dxa"/>
            <w:tcBorders>
              <w:top w:val="single" w:sz="4" w:space="0" w:color="18333C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$13,200,000</w:t>
            </w:r>
          </w:p>
        </w:tc>
        <w:tc>
          <w:tcPr>
            <w:tcW w:w="226" w:type="dxa"/>
            <w:tcBorders>
              <w:top w:val="single" w:sz="4" w:space="0" w:color="18333C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1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1"/>
                <w:u w:val="none"/>
                <w:effect w:val="none"/>
              </w:rPr>
              <w:t>(2)</w:t>
            </w:r>
          </w:p>
        </w:tc>
        <w:tc>
          <w:tcPr>
            <w:tcW w:w="109" w:type="dxa"/>
            <w:tcBorders>
              <w:top w:val="single" w:sz="4" w:space="0" w:color="18333C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1" w:type="dxa"/>
            <w:tcBorders>
              <w:top w:val="single" w:sz="4" w:space="0" w:color="18333C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$33,713,060</w:t>
            </w:r>
          </w:p>
        </w:tc>
        <w:tc>
          <w:tcPr>
            <w:tcW w:w="226" w:type="dxa"/>
            <w:tcBorders>
              <w:top w:val="single" w:sz="4" w:space="0" w:color="18333C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1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1"/>
                <w:u w:val="none"/>
                <w:effect w:val="none"/>
              </w:rPr>
              <w:t>(3)</w:t>
            </w:r>
          </w:p>
        </w:tc>
        <w:tc>
          <w:tcPr>
            <w:tcW w:w="109" w:type="dxa"/>
            <w:tcBorders>
              <w:top w:val="single" w:sz="4" w:space="0" w:color="18333C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51" w:type="dxa"/>
            <w:tcBorders>
              <w:top w:val="single" w:sz="4" w:space="0" w:color="18333C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$16,604,940</w:t>
            </w:r>
          </w:p>
        </w:tc>
        <w:tc>
          <w:tcPr>
            <w:tcW w:w="226" w:type="dxa"/>
            <w:tcBorders>
              <w:top w:val="single" w:sz="4" w:space="0" w:color="18333C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1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1"/>
                <w:u w:val="none"/>
                <w:effect w:val="none"/>
              </w:rPr>
              <w:t>(4)</w:t>
            </w:r>
          </w:p>
        </w:tc>
        <w:tc>
          <w:tcPr>
            <w:tcW w:w="109" w:type="dxa"/>
            <w:tcBorders>
              <w:top w:val="single" w:sz="4" w:space="0" w:color="18333C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71" w:type="dxa"/>
            <w:tcBorders>
              <w:top w:val="single" w:sz="4" w:space="0" w:color="18333C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$66,818,000</w:t>
            </w:r>
          </w:p>
        </w:tc>
      </w:tr>
    </w:tbl>
    <w:p>
      <w:pPr>
        <w:pStyle w:val="TextBody"/>
        <w:bidi w:val="0"/>
        <w:spacing w:lineRule="atLeast" w:line="142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(1)Fixed annual fee per the 2022 Management Agreement.</w:t>
      </w:r>
    </w:p>
    <w:p>
      <w:pPr>
        <w:pStyle w:val="TextBody"/>
        <w:bidi w:val="0"/>
        <w:spacing w:lineRule="atLeast" w:line="142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(2)Adjusted EBITDA achieved in fiscal 2026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was approximately 152.4%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of the budgeted target. As a result, ZMC earned the maximum annual incentive for fiscal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42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2026. The table below describes the payout schedule for the annual incentive opportunity, with proration on a straight-line basis between the amounts listed:</w:t>
      </w:r>
    </w:p>
    <w:tbl>
      <w:tblPr>
        <w:tblW w:w="2800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666"/>
        <w:gridCol w:w="109"/>
        <w:gridCol w:w="109"/>
        <w:gridCol w:w="916"/>
      </w:tblGrid>
      <w:tr>
        <w:trPr/>
        <w:tc>
          <w:tcPr>
            <w:tcW w:w="166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666" w:type="dxa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Percentage of Adjusted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EBITDA Target Obtained</w:t>
            </w:r>
          </w:p>
        </w:tc>
        <w:tc>
          <w:tcPr>
            <w:tcW w:w="109" w:type="dxa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25" w:type="dxa"/>
            <w:gridSpan w:val="2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Amount of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Annual Bonus</w:t>
            </w:r>
          </w:p>
        </w:tc>
      </w:tr>
      <w:tr>
        <w:trPr/>
        <w:tc>
          <w:tcPr>
            <w:tcW w:w="1666" w:type="dxa"/>
            <w:tcBorders>
              <w:top w:val="single" w:sz="4" w:space="0" w:color="18333C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80% or less</w:t>
            </w:r>
          </w:p>
        </w:tc>
        <w:tc>
          <w:tcPr>
            <w:tcW w:w="109" w:type="dxa"/>
            <w:tcBorders>
              <w:top w:val="single" w:sz="4" w:space="0" w:color="18333C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top w:val="single" w:sz="4" w:space="0" w:color="18333C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6" w:type="dxa"/>
            <w:tcBorders>
              <w:top w:val="single" w:sz="4" w:space="0" w:color="18333C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$0</w:t>
            </w:r>
          </w:p>
        </w:tc>
      </w:tr>
      <w:tr>
        <w:trPr/>
        <w:tc>
          <w:tcPr>
            <w:tcW w:w="166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90%</w:t>
            </w:r>
          </w:p>
        </w:tc>
        <w:tc>
          <w:tcPr>
            <w:tcW w:w="109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$3,300,000</w:t>
            </w:r>
          </w:p>
        </w:tc>
      </w:tr>
      <w:tr>
        <w:trPr/>
        <w:tc>
          <w:tcPr>
            <w:tcW w:w="166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100%</w:t>
            </w:r>
          </w:p>
        </w:tc>
        <w:tc>
          <w:tcPr>
            <w:tcW w:w="109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$6,600,000</w:t>
            </w:r>
          </w:p>
        </w:tc>
      </w:tr>
      <w:tr>
        <w:trPr/>
        <w:tc>
          <w:tcPr>
            <w:tcW w:w="166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110%</w:t>
            </w:r>
          </w:p>
        </w:tc>
        <w:tc>
          <w:tcPr>
            <w:tcW w:w="109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$8,014,286</w:t>
            </w:r>
          </w:p>
        </w:tc>
      </w:tr>
      <w:tr>
        <w:trPr/>
        <w:tc>
          <w:tcPr>
            <w:tcW w:w="166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120%</w:t>
            </w:r>
          </w:p>
        </w:tc>
        <w:tc>
          <w:tcPr>
            <w:tcW w:w="109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$9,428,572</w:t>
            </w:r>
          </w:p>
        </w:tc>
      </w:tr>
      <w:tr>
        <w:trPr/>
        <w:tc>
          <w:tcPr>
            <w:tcW w:w="166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130%</w:t>
            </w:r>
          </w:p>
        </w:tc>
        <w:tc>
          <w:tcPr>
            <w:tcW w:w="109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$10,685,714</w:t>
            </w:r>
          </w:p>
        </w:tc>
      </w:tr>
      <w:tr>
        <w:trPr/>
        <w:tc>
          <w:tcPr>
            <w:tcW w:w="166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140%</w:t>
            </w:r>
          </w:p>
        </w:tc>
        <w:tc>
          <w:tcPr>
            <w:tcW w:w="109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$11,942,858</w:t>
            </w:r>
          </w:p>
        </w:tc>
      </w:tr>
      <w:tr>
        <w:trPr/>
        <w:tc>
          <w:tcPr>
            <w:tcW w:w="166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150%</w:t>
            </w:r>
          </w:p>
        </w:tc>
        <w:tc>
          <w:tcPr>
            <w:tcW w:w="109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$13,200,000</w:t>
            </w:r>
          </w:p>
        </w:tc>
      </w:tr>
      <w:tr>
        <w:trPr/>
        <w:tc>
          <w:tcPr>
            <w:tcW w:w="1666" w:type="dxa"/>
            <w:tcBorders>
              <w:top w:val="single" w:sz="2" w:space="0" w:color="8C8D8F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Above 150%</w:t>
            </w:r>
          </w:p>
        </w:tc>
        <w:tc>
          <w:tcPr>
            <w:tcW w:w="109" w:type="dxa"/>
            <w:tcBorders>
              <w:top w:val="single" w:sz="2" w:space="0" w:color="8C8D8F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top w:val="single" w:sz="2" w:space="0" w:color="8C8D8F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6" w:type="dxa"/>
            <w:tcBorders>
              <w:top w:val="single" w:sz="2" w:space="0" w:color="8C8D8F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$13,200,000</w:t>
            </w:r>
          </w:p>
        </w:tc>
      </w:tr>
    </w:tbl>
    <w:p>
      <w:pPr>
        <w:pStyle w:val="TextBody"/>
        <w:bidi w:val="0"/>
        <w:spacing w:lineRule="atLeast" w:line="142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(3)Represents the planning value of the grant made on June 2, 2025. Amount reported assumes that target TSR and Recurrent Consumer Spending performance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42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achievement is met, resulting in the vesting of 149,477 RSUs. If the maximum performance achievement is met, 298,954 RSUs would vest. Relative TSR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42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performance-based vesting is a function of the Company’s TSR during the performance period, which commenced on June 1, 2025 and ends on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42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March 31, 2028 (which is the end of the third fiscal year during such period), as compared to the TSR generated by the companies that comprise the Nasdaq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42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100 Index on the first day of the performance period. We use the Nasdaq 100 Index for this purpose, rather than a narrow peer group, given the small size of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42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our public company compensation peer group and the stock price volatility of those peers. The table below describes the vesting schedule for the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42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performance-based equity based on achievement of relative TSR over such performance period, with proration on a straight-line basis between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42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the amounts listed:</w:t>
      </w:r>
    </w:p>
    <w:tbl>
      <w:tblPr>
        <w:tblW w:w="334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651"/>
        <w:gridCol w:w="1696"/>
      </w:tblGrid>
      <w:tr>
        <w:trPr/>
        <w:tc>
          <w:tcPr>
            <w:tcW w:w="16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651" w:type="dxa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TSR Percentile Rank</w:t>
            </w:r>
          </w:p>
        </w:tc>
        <w:tc>
          <w:tcPr>
            <w:tcW w:w="1696" w:type="dxa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TSR Vesting Percentage</w:t>
            </w:r>
          </w:p>
        </w:tc>
      </w:tr>
      <w:tr>
        <w:trPr/>
        <w:tc>
          <w:tcPr>
            <w:tcW w:w="1651" w:type="dxa"/>
            <w:tcBorders>
              <w:top w:val="single" w:sz="4" w:space="0" w:color="18333C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/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4"/>
                <w:u w:val="none"/>
                <w:effect w:val="none"/>
              </w:rPr>
              <w:t>Less than 40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9"/>
                <w:u w:val="none"/>
                <w:effect w:val="none"/>
              </w:rPr>
              <w:t>th 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4"/>
                <w:u w:val="none"/>
                <w:effect w:val="none"/>
              </w:rPr>
              <w:t>Percentile</w:t>
            </w:r>
          </w:p>
        </w:tc>
        <w:tc>
          <w:tcPr>
            <w:tcW w:w="1696" w:type="dxa"/>
            <w:tcBorders>
              <w:top w:val="single" w:sz="4" w:space="0" w:color="18333C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4"/>
                <w:u w:val="none"/>
                <w:effect w:val="none"/>
              </w:rPr>
              <w:t>0% of target shares</w:t>
            </w:r>
          </w:p>
        </w:tc>
      </w:tr>
      <w:tr>
        <w:trPr/>
        <w:tc>
          <w:tcPr>
            <w:tcW w:w="1651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/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4"/>
                <w:u w:val="none"/>
                <w:effect w:val="none"/>
              </w:rPr>
              <w:t>40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9"/>
                <w:u w:val="none"/>
                <w:effect w:val="none"/>
              </w:rPr>
              <w:t>th 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4"/>
                <w:u w:val="none"/>
                <w:effect w:val="none"/>
              </w:rPr>
              <w:t>Percentile</w:t>
            </w:r>
          </w:p>
        </w:tc>
        <w:tc>
          <w:tcPr>
            <w:tcW w:w="169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4"/>
                <w:u w:val="none"/>
                <w:effect w:val="none"/>
              </w:rPr>
              <w:t>50% of target shares</w:t>
            </w:r>
          </w:p>
        </w:tc>
      </w:tr>
      <w:tr>
        <w:trPr/>
        <w:tc>
          <w:tcPr>
            <w:tcW w:w="1651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/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4"/>
                <w:u w:val="none"/>
                <w:effect w:val="none"/>
              </w:rPr>
              <w:t>50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9"/>
                <w:u w:val="none"/>
                <w:effect w:val="none"/>
              </w:rPr>
              <w:t>th 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4"/>
                <w:u w:val="none"/>
                <w:effect w:val="none"/>
              </w:rPr>
              <w:t>Percentile</w:t>
            </w:r>
          </w:p>
        </w:tc>
        <w:tc>
          <w:tcPr>
            <w:tcW w:w="169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4"/>
                <w:u w:val="none"/>
                <w:effect w:val="none"/>
              </w:rPr>
              <w:t>100% of target shares</w:t>
            </w:r>
          </w:p>
        </w:tc>
      </w:tr>
      <w:tr>
        <w:trPr/>
        <w:tc>
          <w:tcPr>
            <w:tcW w:w="1651" w:type="dxa"/>
            <w:tcBorders>
              <w:top w:val="single" w:sz="2" w:space="0" w:color="8C8D8F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/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4"/>
                <w:u w:val="none"/>
                <w:effect w:val="none"/>
              </w:rPr>
              <w:t>75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9"/>
                <w:u w:val="none"/>
                <w:effect w:val="none"/>
              </w:rPr>
              <w:t>th 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4"/>
                <w:u w:val="none"/>
                <w:effect w:val="none"/>
              </w:rPr>
              <w:t>Percentile</w:t>
            </w:r>
          </w:p>
        </w:tc>
        <w:tc>
          <w:tcPr>
            <w:tcW w:w="1696" w:type="dxa"/>
            <w:tcBorders>
              <w:top w:val="single" w:sz="2" w:space="0" w:color="8C8D8F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4"/>
                <w:u w:val="none"/>
                <w:effect w:val="none"/>
              </w:rPr>
              <w:t>200% of target shares</w:t>
            </w:r>
          </w:p>
        </w:tc>
      </w:tr>
    </w:tbl>
    <w:tbl>
      <w:tblPr>
        <w:tblW w:w="493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301"/>
        <w:gridCol w:w="4636"/>
      </w:tblGrid>
      <w:tr>
        <w:trPr/>
        <w:tc>
          <w:tcPr>
            <w:tcW w:w="30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0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38</w:t>
            </w:r>
          </w:p>
        </w:tc>
        <w:tc>
          <w:tcPr>
            <w:tcW w:w="4636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sz w:val="24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TAKE-TWO INTERACTIVE SOFTWARE, INC.   |   2026</w:t>
            </w:r>
            <w:r>
              <w:rPr>
                <w:caps w:val="false"/>
                <w:smallCaps w:val="false"/>
                <w:strike w:val="false"/>
                <w:dstrike w:val="false"/>
                <w:color w:val="18333C"/>
                <w:sz w:val="24"/>
                <w:u w:val="none"/>
                <w:effect w:val="none"/>
              </w:rPr>
              <w:t xml:space="preserve"> 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Proxy Statement</w:t>
            </w:r>
          </w:p>
        </w:tc>
      </w:tr>
    </w:tbl>
    <w:p>
      <w:pPr>
        <w:pStyle w:val="TextBody"/>
        <w:bidi w:val="0"/>
        <w:spacing w:lineRule="atLeast" w:line="142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3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3"/>
          <w:u w:val="none"/>
          <w:effect w:val="none"/>
        </w:rPr>
        <w:t>COMPENSATION DISCUSSION AND ANALYSIS</w:t>
      </w:r>
    </w:p>
    <w:p>
      <w:pPr>
        <w:pStyle w:val="TextBody"/>
        <w:bidi w:val="0"/>
        <w:spacing w:lineRule="atLeast" w:line="142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2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2"/>
          <w:u w:val="none"/>
          <w:effect w:val="none"/>
        </w:rPr>
        <w:t>DETAILED DISCUSSION AND ANALYSIS</w:t>
      </w:r>
    </w:p>
    <w:p>
      <w:pPr>
        <w:pStyle w:val="TextBody"/>
        <w:bidi w:val="0"/>
        <w:spacing w:lineRule="atLeast" w:line="142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Recurrent Consumer Spending performance-based vesting is determined by comparing the following two measurements and using the measurement that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42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results in the greatest number of RSUs vesting: (i) the percentage change between the Recurrent Consumer Spending for the base fiscal year (which is the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42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fiscal year prior to the fiscal year in which the grant was made) and the three-year average Recurrent Consumer Spending for the three fiscal years following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42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the base fiscal year (“</w:t>
      </w:r>
      <w:r>
        <w:rPr>
          <w:rFonts w:ascii="Arial;sans-serif" w:hAnsi="Arial;sans-serif"/>
          <w:b w:val="false"/>
          <w:i/>
          <w:strike w:val="false"/>
          <w:dstrike w:val="false"/>
          <w:sz w:val="14"/>
          <w:u w:val="none"/>
          <w:effect w:val="none"/>
        </w:rPr>
        <w:t>Absolute Recurrent Consumer Spending Growth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>”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) and (ii) the three-year average Recurrent Consumer Spending for the three fiscal years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42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following the base fiscal year as a percentage of the three-year average total net bookings for the same period (“</w:t>
      </w:r>
      <w:r>
        <w:rPr>
          <w:rFonts w:ascii="Arial;sans-serif" w:hAnsi="Arial;sans-serif"/>
          <w:b w:val="false"/>
          <w:i/>
          <w:strike w:val="false"/>
          <w:dstrike w:val="false"/>
          <w:sz w:val="14"/>
          <w:u w:val="none"/>
          <w:effect w:val="none"/>
        </w:rPr>
        <w:t>Relative Recurrent Consumer Spending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>”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).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42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Recurrent Consumer Spending is defined as the consolidated net bookings generated by the Company that are supplemental to the sale of any full game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42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release from the sale of virtual currency, add-on content, in-game purchases and similar items, calculated on a basis consistent with how the Company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42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calculates recurrent consumer spending for its management reporting. The table below describes the vesting schedule for the Recurrent Consumer Spending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42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performance-based shares with proration on a straight line basis between the amounts listed (with the measurement that results in the greatest number of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42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RSUs vesting being determinative):</w:t>
      </w:r>
    </w:p>
    <w:tbl>
      <w:tblPr>
        <w:tblW w:w="5252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3181"/>
        <w:gridCol w:w="2071"/>
      </w:tblGrid>
      <w:tr>
        <w:trPr/>
        <w:tc>
          <w:tcPr>
            <w:tcW w:w="318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181" w:type="dxa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Absolute Recurrent Consumer Spending Growth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(during the relevant measurement period)</w:t>
            </w:r>
          </w:p>
        </w:tc>
        <w:tc>
          <w:tcPr>
            <w:tcW w:w="2071" w:type="dxa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Absolute Recurrent Consumer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Spending Vesting Percentage</w:t>
            </w:r>
          </w:p>
        </w:tc>
      </w:tr>
      <w:tr>
        <w:trPr/>
        <w:tc>
          <w:tcPr>
            <w:tcW w:w="3181" w:type="dxa"/>
            <w:tcBorders>
              <w:top w:val="single" w:sz="4" w:space="0" w:color="18333C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Less than 3%</w:t>
            </w:r>
          </w:p>
        </w:tc>
        <w:tc>
          <w:tcPr>
            <w:tcW w:w="2071" w:type="dxa"/>
            <w:tcBorders>
              <w:top w:val="single" w:sz="4" w:space="0" w:color="18333C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4"/>
                <w:u w:val="none"/>
                <w:effect w:val="none"/>
              </w:rPr>
              <w:t>0% of target shares</w:t>
            </w:r>
          </w:p>
        </w:tc>
      </w:tr>
      <w:tr>
        <w:trPr/>
        <w:tc>
          <w:tcPr>
            <w:tcW w:w="3181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3%</w:t>
            </w:r>
          </w:p>
        </w:tc>
        <w:tc>
          <w:tcPr>
            <w:tcW w:w="2071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4"/>
                <w:u w:val="none"/>
                <w:effect w:val="none"/>
              </w:rPr>
              <w:t>50% of target shares</w:t>
            </w:r>
          </w:p>
        </w:tc>
      </w:tr>
      <w:tr>
        <w:trPr/>
        <w:tc>
          <w:tcPr>
            <w:tcW w:w="3181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6%</w:t>
            </w:r>
          </w:p>
        </w:tc>
        <w:tc>
          <w:tcPr>
            <w:tcW w:w="2071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4"/>
                <w:u w:val="none"/>
                <w:effect w:val="none"/>
              </w:rPr>
              <w:t>100% of target shares</w:t>
            </w:r>
          </w:p>
        </w:tc>
      </w:tr>
      <w:tr>
        <w:trPr/>
        <w:tc>
          <w:tcPr>
            <w:tcW w:w="3181" w:type="dxa"/>
            <w:tcBorders>
              <w:top w:val="single" w:sz="2" w:space="0" w:color="8C8D8F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9% or greater</w:t>
            </w:r>
          </w:p>
        </w:tc>
        <w:tc>
          <w:tcPr>
            <w:tcW w:w="2071" w:type="dxa"/>
            <w:tcBorders>
              <w:top w:val="single" w:sz="2" w:space="0" w:color="8C8D8F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4"/>
                <w:u w:val="none"/>
                <w:effect w:val="none"/>
              </w:rPr>
              <w:t>200% of target shares</w:t>
            </w:r>
          </w:p>
        </w:tc>
      </w:tr>
    </w:tbl>
    <w:tbl>
      <w:tblPr>
        <w:tblW w:w="5882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3841"/>
        <w:gridCol w:w="2041"/>
      </w:tblGrid>
      <w:tr>
        <w:trPr/>
        <w:tc>
          <w:tcPr>
            <w:tcW w:w="38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841" w:type="dxa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Relative Recurrent Consumer Spending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(as a percentage of three-year average total net bookings)</w:t>
            </w:r>
          </w:p>
        </w:tc>
        <w:tc>
          <w:tcPr>
            <w:tcW w:w="2041" w:type="dxa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Relative Recurrent Consumer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Spending Vesting Percentage</w:t>
            </w:r>
          </w:p>
        </w:tc>
      </w:tr>
      <w:tr>
        <w:trPr/>
        <w:tc>
          <w:tcPr>
            <w:tcW w:w="3841" w:type="dxa"/>
            <w:tcBorders>
              <w:top w:val="single" w:sz="4" w:space="0" w:color="18333C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Less than 45%</w:t>
            </w:r>
          </w:p>
        </w:tc>
        <w:tc>
          <w:tcPr>
            <w:tcW w:w="2041" w:type="dxa"/>
            <w:tcBorders>
              <w:top w:val="single" w:sz="4" w:space="0" w:color="18333C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0% of target shares</w:t>
            </w:r>
          </w:p>
        </w:tc>
      </w:tr>
      <w:tr>
        <w:trPr/>
        <w:tc>
          <w:tcPr>
            <w:tcW w:w="3841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45%</w:t>
            </w:r>
          </w:p>
        </w:tc>
        <w:tc>
          <w:tcPr>
            <w:tcW w:w="2041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4"/>
                <w:u w:val="none"/>
                <w:effect w:val="none"/>
              </w:rPr>
              <w:t>50% of target shares</w:t>
            </w:r>
          </w:p>
        </w:tc>
      </w:tr>
      <w:tr>
        <w:trPr/>
        <w:tc>
          <w:tcPr>
            <w:tcW w:w="3841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50%</w:t>
            </w:r>
          </w:p>
        </w:tc>
        <w:tc>
          <w:tcPr>
            <w:tcW w:w="2041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4"/>
                <w:u w:val="none"/>
                <w:effect w:val="none"/>
              </w:rPr>
              <w:t>100% of target shares</w:t>
            </w:r>
          </w:p>
        </w:tc>
      </w:tr>
      <w:tr>
        <w:trPr/>
        <w:tc>
          <w:tcPr>
            <w:tcW w:w="3841" w:type="dxa"/>
            <w:tcBorders>
              <w:top w:val="single" w:sz="2" w:space="0" w:color="8C8D8F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55% or greater</w:t>
            </w:r>
          </w:p>
        </w:tc>
        <w:tc>
          <w:tcPr>
            <w:tcW w:w="2041" w:type="dxa"/>
            <w:tcBorders>
              <w:top w:val="single" w:sz="2" w:space="0" w:color="8C8D8F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4"/>
                <w:u w:val="none"/>
                <w:effect w:val="none"/>
              </w:rPr>
              <w:t>200% of target shares</w:t>
            </w:r>
          </w:p>
        </w:tc>
      </w:tr>
    </w:tbl>
    <w:p>
      <w:pPr>
        <w:pStyle w:val="TextBody"/>
        <w:bidi w:val="0"/>
        <w:spacing w:lineRule="atLeast" w:line="142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(4)Represents the planning value of the grant made on June 2, 2025. Awards will vest 1/3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9"/>
          <w:u w:val="none"/>
          <w:effect w:val="none"/>
        </w:rPr>
        <w:t>rd 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on each of June 1, 2027 and June 1, 2028 (with 1/3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9"/>
          <w:u w:val="none"/>
          <w:effect w:val="none"/>
        </w:rPr>
        <w:t>rd 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having previously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42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vested on June 1, 2026), for the grant made on June 2, 2025, in each case provided that the Management Agreement has not been terminated prior to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42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such date.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For a detailed description of the fees and incentives to ZMC under the Management Agreement, including the RSUs awarded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in fiscal 2026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and 2027 and the awards vested in fiscal 2026, see “Certain Relationships and Related Transactions—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Management Agreement.”</w:t>
      </w:r>
    </w:p>
    <w:p>
      <w:pPr>
        <w:pStyle w:val="TextBody"/>
        <w:bidi w:val="0"/>
        <w:spacing w:lineRule="atLeast" w:line="19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9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9"/>
          <w:u w:val="none"/>
          <w:effect w:val="none"/>
        </w:rPr>
        <w:t>Compensation of Mr. Zelnick and Mr. Slatoff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Under the Management Agreement, Mr. Zelnick may not receive more than 60% of the aggregate compensation paid to ZMC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and Mr. Slatoff may not receive more than 40%. These individual caps enhance transparency regarding the maximum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compensation payable to each executive. Subject to these limitations, the allocation of compensation among ZMC’s principals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is determined solely by ZMC, and the Company has no role in that process.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Mr. Zelnick and Mr. Slatoff each continue to receive annual compensation of $1 from the Company, which enables them to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participate in certain health and other plan benefits, the value of which is described in the Summary Compensation Table below.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Mr. Slatoff receives his $1 of annual compensation pursuant to an employment agreement entered into with the Company in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February 2008, the terms of which are described under “Executive Compensation—Narrative Disclosure Regarding Equity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Plans and Employment Agreements—Employment Agreements—Karl Slatoff” below.</w:t>
      </w:r>
    </w:p>
    <w:tbl>
      <w:tblPr>
        <w:tblW w:w="4982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4651"/>
        <w:gridCol w:w="331"/>
      </w:tblGrid>
      <w:tr>
        <w:trPr/>
        <w:tc>
          <w:tcPr>
            <w:tcW w:w="46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651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sz w:val="24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TAKE-TWO INTERACTIVE SOFTWARE, INC.   |   2026</w:t>
            </w:r>
            <w:r>
              <w:rPr>
                <w:caps w:val="false"/>
                <w:smallCaps w:val="false"/>
                <w:strike w:val="false"/>
                <w:dstrike w:val="false"/>
                <w:color w:val="18333C"/>
                <w:sz w:val="24"/>
                <w:u w:val="none"/>
                <w:effect w:val="none"/>
              </w:rPr>
              <w:t xml:space="preserve"> 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 xml:space="preserve">Proxy Statement </w:t>
            </w:r>
          </w:p>
        </w:tc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39</w:t>
            </w:r>
          </w:p>
        </w:tc>
      </w:tr>
    </w:tbl>
    <w:p>
      <w:pPr>
        <w:pStyle w:val="TextBody"/>
        <w:bidi w:val="0"/>
        <w:spacing w:lineRule="atLeast" w:line="142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3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3"/>
          <w:u w:val="none"/>
          <w:effect w:val="none"/>
        </w:rPr>
        <w:t>COMPENSATION DISCUSSION AND ANALYSIS</w:t>
      </w:r>
    </w:p>
    <w:p>
      <w:pPr>
        <w:pStyle w:val="TextBody"/>
        <w:bidi w:val="0"/>
        <w:spacing w:lineRule="atLeast" w:line="142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2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2"/>
          <w:u w:val="none"/>
          <w:effect w:val="none"/>
        </w:rPr>
        <w:t>DETAILED DISCUSSION AND ANALYSIS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/>
          <w:i w:val="false"/>
          <w:caps w:val="false"/>
          <w:smallCaps w:val="false"/>
          <w:sz w:val="18"/>
          <w:u w:val="single"/>
        </w:rPr>
        <w:t>For illustrative purposes only, the table below assumes that ZMC allocated the maximum permitted compensation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/>
          <w:i w:val="false"/>
          <w:caps w:val="false"/>
          <w:smallCaps w:val="false"/>
          <w:sz w:val="18"/>
          <w:u w:val="single"/>
        </w:rPr>
      </w:pPr>
      <w:r>
        <w:rPr>
          <w:rFonts w:ascii="Arial;sans-serif" w:hAnsi="Arial;sans-serif"/>
          <w:b/>
          <w:i w:val="false"/>
          <w:caps w:val="false"/>
          <w:smallCaps w:val="false"/>
          <w:sz w:val="18"/>
          <w:u w:val="single"/>
        </w:rPr>
        <w:t>under the 2022 Management Agreement, with 60% allocated to Mr. Zelnick and 40% allocated to Mr. Slatoff:</w:t>
      </w:r>
    </w:p>
    <w:tbl>
      <w:tblPr>
        <w:tblW w:w="8683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146"/>
        <w:gridCol w:w="109"/>
        <w:gridCol w:w="236"/>
        <w:gridCol w:w="1628"/>
        <w:gridCol w:w="176"/>
        <w:gridCol w:w="109"/>
        <w:gridCol w:w="229"/>
        <w:gridCol w:w="1580"/>
        <w:gridCol w:w="171"/>
        <w:gridCol w:w="109"/>
        <w:gridCol w:w="229"/>
        <w:gridCol w:w="1720"/>
        <w:gridCol w:w="241"/>
      </w:tblGrid>
      <w:tr>
        <w:trPr/>
        <w:tc>
          <w:tcPr>
            <w:tcW w:w="21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2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2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8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2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2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36" w:type="dxa"/>
            <w:tcBorders/>
            <w:shd w:fill="64BFA6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28" w:type="dxa"/>
            <w:tcBorders/>
            <w:shd w:fill="64BFA6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6" w:type="dxa"/>
            <w:tcBorders/>
            <w:shd w:fill="64BFA6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29" w:type="dxa"/>
            <w:tcBorders/>
            <w:shd w:fill="64BFA6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80" w:type="dxa"/>
            <w:tcBorders/>
            <w:shd w:fill="64BFA6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1" w:type="dxa"/>
            <w:tcBorders/>
            <w:shd w:fill="64BFA6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29" w:type="dxa"/>
            <w:tcBorders/>
            <w:shd w:fill="64BFA6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20" w:type="dxa"/>
            <w:tcBorders/>
            <w:shd w:fill="64BFA6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41" w:type="dxa"/>
            <w:tcBorders/>
            <w:shd w:fill="64BFA6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6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FFFFFF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FFFFFF"/>
                <w:u w:val="none"/>
                <w:effect w:val="none"/>
              </w:rPr>
              <w:t> 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gridSpan w:val="3"/>
            <w:tcBorders/>
            <w:shd w:fill="64BFA6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Minimum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980" w:type="dxa"/>
            <w:gridSpan w:val="3"/>
            <w:tcBorders/>
            <w:shd w:fill="64BFA6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Target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190" w:type="dxa"/>
            <w:gridSpan w:val="3"/>
            <w:tcBorders/>
            <w:shd w:fill="64BFA6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Maximum</w:t>
            </w:r>
          </w:p>
        </w:tc>
      </w:tr>
      <w:tr>
        <w:trPr/>
        <w:tc>
          <w:tcPr>
            <w:tcW w:w="21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36" w:type="dxa"/>
            <w:tcBorders>
              <w:bottom w:val="single" w:sz="4" w:space="0" w:color="18333C"/>
            </w:tcBorders>
            <w:shd w:fill="64BFA6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28" w:type="dxa"/>
            <w:tcBorders>
              <w:bottom w:val="single" w:sz="4" w:space="0" w:color="18333C"/>
            </w:tcBorders>
            <w:shd w:fill="64BFA6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6" w:type="dxa"/>
            <w:tcBorders>
              <w:bottom w:val="single" w:sz="4" w:space="0" w:color="18333C"/>
            </w:tcBorders>
            <w:shd w:fill="64BFA6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29" w:type="dxa"/>
            <w:tcBorders>
              <w:bottom w:val="single" w:sz="4" w:space="0" w:color="18333C"/>
            </w:tcBorders>
            <w:shd w:fill="64BFA6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80" w:type="dxa"/>
            <w:tcBorders>
              <w:bottom w:val="single" w:sz="4" w:space="0" w:color="18333C"/>
            </w:tcBorders>
            <w:shd w:fill="64BFA6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1" w:type="dxa"/>
            <w:tcBorders>
              <w:bottom w:val="single" w:sz="4" w:space="0" w:color="18333C"/>
            </w:tcBorders>
            <w:shd w:fill="64BFA6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29" w:type="dxa"/>
            <w:tcBorders>
              <w:bottom w:val="single" w:sz="4" w:space="0" w:color="18333C"/>
            </w:tcBorders>
            <w:shd w:fill="64BFA6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20" w:type="dxa"/>
            <w:tcBorders>
              <w:bottom w:val="single" w:sz="4" w:space="0" w:color="18333C"/>
            </w:tcBorders>
            <w:shd w:fill="64BFA6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41" w:type="dxa"/>
            <w:tcBorders>
              <w:bottom w:val="single" w:sz="4" w:space="0" w:color="18333C"/>
            </w:tcBorders>
            <w:shd w:fill="64BFA6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gridSpan w:val="3"/>
            <w:tcBorders>
              <w:top w:val="single" w:sz="4" w:space="0" w:color="18333C"/>
            </w:tcBorders>
            <w:shd w:fill="E0F2ED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980" w:type="dxa"/>
            <w:gridSpan w:val="3"/>
            <w:tcBorders>
              <w:top w:val="single" w:sz="4" w:space="0" w:color="18333C"/>
            </w:tcBorders>
            <w:shd w:fill="D0ECE4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190" w:type="dxa"/>
            <w:gridSpan w:val="3"/>
            <w:tcBorders>
              <w:top w:val="single" w:sz="4" w:space="0" w:color="18333C"/>
            </w:tcBorders>
            <w:shd w:fill="C1E5DB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</w:rPr>
            </w:pPr>
            <w:r>
              <w:rPr>
                <w:caps w:val="false"/>
                <w:smallCaps w:val="false"/>
              </w:rPr>
              <w:t> 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gridSpan w:val="3"/>
            <w:tcBorders/>
            <w:shd w:fill="E0F2ED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18333C"/>
                <w:u w:val="none"/>
                <w:effect w:val="none"/>
              </w:rPr>
              <w:t>•</w:t>
            </w: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>≤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7"/>
                <w:u w:val="none"/>
                <w:effect w:val="none"/>
              </w:rPr>
              <w:t xml:space="preserve">80% Adjusted </w:t>
            </w:r>
          </w:p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7"/>
                <w:u w:val="none"/>
                <w:effect w:val="none"/>
              </w:rPr>
              <w:t>EBITDA Goal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18333C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7"/>
                <w:u w:val="none"/>
                <w:effect w:val="none"/>
              </w:rPr>
              <w:t>&lt;40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1"/>
                <w:u w:val="none"/>
                <w:effect w:val="none"/>
              </w:rPr>
              <w:t>th 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7"/>
                <w:u w:val="none"/>
                <w:effect w:val="none"/>
              </w:rPr>
              <w:t xml:space="preserve">Percentile </w:t>
            </w:r>
          </w:p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7"/>
                <w:u w:val="none"/>
                <w:effect w:val="none"/>
              </w:rPr>
              <w:t>Relative TSR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18333C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7"/>
                <w:u w:val="none"/>
                <w:effect w:val="none"/>
              </w:rPr>
              <w:t xml:space="preserve">Less than Min Recurrent </w:t>
            </w:r>
          </w:p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7"/>
                <w:u w:val="none"/>
                <w:effect w:val="none"/>
              </w:rPr>
              <w:t>Consumer Spending Goal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980" w:type="dxa"/>
            <w:gridSpan w:val="3"/>
            <w:tcBorders/>
            <w:shd w:fill="D0ECE4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18333C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7"/>
                <w:u w:val="none"/>
                <w:effect w:val="none"/>
              </w:rPr>
              <w:t xml:space="preserve">100% Adjusted </w:t>
            </w:r>
          </w:p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7"/>
                <w:u w:val="none"/>
                <w:effect w:val="none"/>
              </w:rPr>
              <w:t>EBITDA Goal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18333C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7"/>
                <w:u w:val="none"/>
                <w:effect w:val="none"/>
              </w:rPr>
              <w:t>50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1"/>
                <w:u w:val="none"/>
                <w:effect w:val="none"/>
              </w:rPr>
              <w:t>th 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7"/>
                <w:u w:val="none"/>
                <w:effect w:val="none"/>
              </w:rPr>
              <w:t xml:space="preserve">Percentile </w:t>
            </w:r>
          </w:p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7"/>
                <w:u w:val="none"/>
                <w:effect w:val="none"/>
              </w:rPr>
              <w:t>Relative TSR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18333C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7"/>
                <w:u w:val="none"/>
                <w:effect w:val="none"/>
              </w:rPr>
              <w:t xml:space="preserve">Target Recurrent </w:t>
            </w:r>
          </w:p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7"/>
                <w:u w:val="none"/>
                <w:effect w:val="none"/>
              </w:rPr>
              <w:t>Consumer Spending Goal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190" w:type="dxa"/>
            <w:gridSpan w:val="3"/>
            <w:tcBorders/>
            <w:shd w:fill="C1E5DB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18333C"/>
                <w:u w:val="none"/>
                <w:effect w:val="none"/>
              </w:rPr>
              <w:t>•</w:t>
            </w: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>≥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7"/>
                <w:u w:val="none"/>
                <w:effect w:val="none"/>
              </w:rPr>
              <w:t xml:space="preserve">150% Adjusted </w:t>
            </w:r>
          </w:p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7"/>
                <w:u w:val="none"/>
                <w:effect w:val="none"/>
              </w:rPr>
              <w:t>EBITDA Goal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18333C"/>
                <w:u w:val="none"/>
                <w:effect w:val="none"/>
              </w:rPr>
              <w:t>•</w:t>
            </w: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>≥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7"/>
                <w:u w:val="none"/>
                <w:effect w:val="none"/>
              </w:rPr>
              <w:t>75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1"/>
                <w:u w:val="none"/>
                <w:effect w:val="none"/>
              </w:rPr>
              <w:t>th 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7"/>
                <w:u w:val="none"/>
                <w:effect w:val="none"/>
              </w:rPr>
              <w:t xml:space="preserve">Percentile </w:t>
            </w:r>
          </w:p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7"/>
                <w:u w:val="none"/>
                <w:effect w:val="none"/>
              </w:rPr>
              <w:t>Relative TSR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color w:val="18333C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7"/>
                <w:u w:val="none"/>
                <w:effect w:val="none"/>
              </w:rPr>
              <w:t xml:space="preserve">Max Recurrent Consumer </w:t>
            </w:r>
          </w:p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7"/>
                <w:u w:val="none"/>
                <w:effect w:val="none"/>
              </w:rPr>
              <w:t>Spending Goal</w:t>
            </w:r>
          </w:p>
        </w:tc>
      </w:tr>
      <w:tr>
        <w:trPr/>
        <w:tc>
          <w:tcPr>
            <w:tcW w:w="2146" w:type="dxa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36" w:type="dxa"/>
            <w:tcBorders>
              <w:bottom w:val="single" w:sz="4" w:space="0" w:color="18333C"/>
            </w:tcBorders>
            <w:shd w:fill="E0F2ED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28" w:type="dxa"/>
            <w:tcBorders>
              <w:bottom w:val="single" w:sz="4" w:space="0" w:color="18333C"/>
            </w:tcBorders>
            <w:shd w:fill="E0F2ED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6" w:type="dxa"/>
            <w:tcBorders>
              <w:bottom w:val="single" w:sz="4" w:space="0" w:color="18333C"/>
            </w:tcBorders>
            <w:shd w:fill="E0F2ED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29" w:type="dxa"/>
            <w:tcBorders>
              <w:bottom w:val="single" w:sz="4" w:space="0" w:color="18333C"/>
            </w:tcBorders>
            <w:shd w:fill="D0ECE4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80" w:type="dxa"/>
            <w:tcBorders>
              <w:bottom w:val="single" w:sz="4" w:space="0" w:color="18333C"/>
            </w:tcBorders>
            <w:shd w:fill="D0ECE4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1" w:type="dxa"/>
            <w:tcBorders>
              <w:bottom w:val="single" w:sz="4" w:space="0" w:color="18333C"/>
            </w:tcBorders>
            <w:shd w:fill="D0ECE4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29" w:type="dxa"/>
            <w:tcBorders>
              <w:bottom w:val="single" w:sz="4" w:space="0" w:color="18333C"/>
            </w:tcBorders>
            <w:shd w:fill="C1E5DB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20" w:type="dxa"/>
            <w:tcBorders>
              <w:bottom w:val="single" w:sz="4" w:space="0" w:color="18333C"/>
            </w:tcBorders>
            <w:shd w:fill="C1E5DB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41" w:type="dxa"/>
            <w:tcBorders>
              <w:bottom w:val="single" w:sz="4" w:space="0" w:color="18333C"/>
            </w:tcBorders>
            <w:shd w:fill="C1E5DB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6" w:type="dxa"/>
            <w:tcBorders>
              <w:top w:val="single" w:sz="4" w:space="0" w:color="18333C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top w:val="single" w:sz="4" w:space="0" w:color="18333C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36" w:type="dxa"/>
            <w:tcBorders>
              <w:top w:val="single" w:sz="4" w:space="0" w:color="18333C"/>
            </w:tcBorders>
            <w:shd w:fill="E0F2ED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28" w:type="dxa"/>
            <w:tcBorders>
              <w:top w:val="single" w:sz="4" w:space="0" w:color="18333C"/>
            </w:tcBorders>
            <w:shd w:fill="E0F2ED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6" w:type="dxa"/>
            <w:tcBorders>
              <w:top w:val="single" w:sz="4" w:space="0" w:color="18333C"/>
            </w:tcBorders>
            <w:shd w:fill="E0F2ED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top w:val="single" w:sz="4" w:space="0" w:color="18333C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29" w:type="dxa"/>
            <w:tcBorders>
              <w:top w:val="single" w:sz="4" w:space="0" w:color="18333C"/>
            </w:tcBorders>
            <w:shd w:fill="D0ECE4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80" w:type="dxa"/>
            <w:tcBorders>
              <w:top w:val="single" w:sz="4" w:space="0" w:color="18333C"/>
            </w:tcBorders>
            <w:shd w:fill="D0ECE4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1" w:type="dxa"/>
            <w:tcBorders>
              <w:top w:val="single" w:sz="4" w:space="0" w:color="18333C"/>
            </w:tcBorders>
            <w:shd w:fill="D0ECE4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top w:val="single" w:sz="4" w:space="0" w:color="18333C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29" w:type="dxa"/>
            <w:tcBorders>
              <w:top w:val="single" w:sz="4" w:space="0" w:color="18333C"/>
            </w:tcBorders>
            <w:shd w:fill="C1E5DB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20" w:type="dxa"/>
            <w:tcBorders>
              <w:top w:val="single" w:sz="4" w:space="0" w:color="18333C"/>
            </w:tcBorders>
            <w:shd w:fill="C1E5DB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41" w:type="dxa"/>
            <w:tcBorders>
              <w:top w:val="single" w:sz="4" w:space="0" w:color="18333C"/>
            </w:tcBorders>
            <w:shd w:fill="C1E5DB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6" w:type="dxa"/>
            <w:tcBorders/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7"/>
                <w:u w:val="none"/>
                <w:effect w:val="none"/>
              </w:rPr>
              <w:t>Annual Management Fee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36" w:type="dxa"/>
            <w:tcBorders/>
            <w:shd w:fill="E0F2ED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</w:rPr>
            </w:pPr>
            <w:r>
              <w:rPr>
                <w:caps w:val="false"/>
                <w:smallCaps w:val="false"/>
              </w:rPr>
              <w:t> </w:t>
            </w:r>
          </w:p>
        </w:tc>
        <w:tc>
          <w:tcPr>
            <w:tcW w:w="1628" w:type="dxa"/>
            <w:tcBorders/>
            <w:shd w:fill="E0F2ED" w:val="clear"/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$3,300,000</w:t>
            </w:r>
          </w:p>
        </w:tc>
        <w:tc>
          <w:tcPr>
            <w:tcW w:w="176" w:type="dxa"/>
            <w:tcBorders/>
            <w:shd w:fill="E0F2ED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29" w:type="dxa"/>
            <w:tcBorders/>
            <w:shd w:fill="D0ECE4" w:val="clear"/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> </w:t>
            </w:r>
          </w:p>
        </w:tc>
        <w:tc>
          <w:tcPr>
            <w:tcW w:w="1580" w:type="dxa"/>
            <w:tcBorders/>
            <w:shd w:fill="D0ECE4" w:val="clear"/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$3,300,000</w:t>
            </w:r>
          </w:p>
        </w:tc>
        <w:tc>
          <w:tcPr>
            <w:tcW w:w="171" w:type="dxa"/>
            <w:tcBorders/>
            <w:shd w:fill="D0ECE4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29" w:type="dxa"/>
            <w:tcBorders/>
            <w:shd w:fill="C1E5DB" w:val="clear"/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> </w:t>
            </w:r>
          </w:p>
        </w:tc>
        <w:tc>
          <w:tcPr>
            <w:tcW w:w="1720" w:type="dxa"/>
            <w:tcBorders/>
            <w:shd w:fill="C1E5DB" w:val="clear"/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$3,300,000</w:t>
            </w:r>
          </w:p>
        </w:tc>
        <w:tc>
          <w:tcPr>
            <w:tcW w:w="241" w:type="dxa"/>
            <w:tcBorders/>
            <w:shd w:fill="C1E5DB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6" w:type="dxa"/>
            <w:tcBorders>
              <w:bottom w:val="single" w:sz="2" w:space="0" w:color="8C8D8F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bottom w:val="single" w:sz="2" w:space="0" w:color="8C8D8F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36" w:type="dxa"/>
            <w:tcBorders>
              <w:bottom w:val="single" w:sz="2" w:space="0" w:color="8C8D8F"/>
            </w:tcBorders>
            <w:shd w:fill="E0F2ED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28" w:type="dxa"/>
            <w:tcBorders>
              <w:bottom w:val="single" w:sz="2" w:space="0" w:color="8C8D8F"/>
            </w:tcBorders>
            <w:shd w:fill="E0F2ED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6" w:type="dxa"/>
            <w:tcBorders>
              <w:bottom w:val="single" w:sz="2" w:space="0" w:color="8C8D8F"/>
            </w:tcBorders>
            <w:shd w:fill="E0F2ED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bottom w:val="single" w:sz="2" w:space="0" w:color="8C8D8F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29" w:type="dxa"/>
            <w:tcBorders>
              <w:bottom w:val="single" w:sz="2" w:space="0" w:color="8C8D8F"/>
            </w:tcBorders>
            <w:shd w:fill="D0ECE4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80" w:type="dxa"/>
            <w:tcBorders>
              <w:bottom w:val="single" w:sz="2" w:space="0" w:color="8C8D8F"/>
            </w:tcBorders>
            <w:shd w:fill="D0ECE4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1" w:type="dxa"/>
            <w:tcBorders>
              <w:bottom w:val="single" w:sz="2" w:space="0" w:color="8C8D8F"/>
            </w:tcBorders>
            <w:shd w:fill="D0ECE4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bottom w:val="single" w:sz="2" w:space="0" w:color="8C8D8F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29" w:type="dxa"/>
            <w:tcBorders>
              <w:bottom w:val="single" w:sz="2" w:space="0" w:color="8C8D8F"/>
            </w:tcBorders>
            <w:shd w:fill="C1E5DB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20" w:type="dxa"/>
            <w:tcBorders>
              <w:bottom w:val="single" w:sz="2" w:space="0" w:color="8C8D8F"/>
            </w:tcBorders>
            <w:shd w:fill="C1E5DB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41" w:type="dxa"/>
            <w:tcBorders>
              <w:bottom w:val="single" w:sz="2" w:space="0" w:color="8C8D8F"/>
            </w:tcBorders>
            <w:shd w:fill="C1E5DB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6" w:type="dxa"/>
            <w:tcBorders>
              <w:top w:val="single" w:sz="2" w:space="0" w:color="8C8D8F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top w:val="single" w:sz="2" w:space="0" w:color="8C8D8F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36" w:type="dxa"/>
            <w:tcBorders>
              <w:top w:val="single" w:sz="2" w:space="0" w:color="8C8D8F"/>
            </w:tcBorders>
            <w:shd w:fill="E0F2ED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28" w:type="dxa"/>
            <w:tcBorders>
              <w:top w:val="single" w:sz="2" w:space="0" w:color="8C8D8F"/>
            </w:tcBorders>
            <w:shd w:fill="E0F2ED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6" w:type="dxa"/>
            <w:tcBorders>
              <w:top w:val="single" w:sz="2" w:space="0" w:color="8C8D8F"/>
            </w:tcBorders>
            <w:shd w:fill="E0F2ED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top w:val="single" w:sz="2" w:space="0" w:color="8C8D8F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29" w:type="dxa"/>
            <w:tcBorders>
              <w:top w:val="single" w:sz="2" w:space="0" w:color="8C8D8F"/>
            </w:tcBorders>
            <w:shd w:fill="D0ECE4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80" w:type="dxa"/>
            <w:tcBorders>
              <w:top w:val="single" w:sz="2" w:space="0" w:color="8C8D8F"/>
            </w:tcBorders>
            <w:shd w:fill="D0ECE4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1" w:type="dxa"/>
            <w:tcBorders>
              <w:top w:val="single" w:sz="2" w:space="0" w:color="8C8D8F"/>
            </w:tcBorders>
            <w:shd w:fill="D0ECE4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top w:val="single" w:sz="2" w:space="0" w:color="8C8D8F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29" w:type="dxa"/>
            <w:tcBorders>
              <w:top w:val="single" w:sz="2" w:space="0" w:color="8C8D8F"/>
            </w:tcBorders>
            <w:shd w:fill="C1E5DB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20" w:type="dxa"/>
            <w:tcBorders>
              <w:top w:val="single" w:sz="2" w:space="0" w:color="8C8D8F"/>
            </w:tcBorders>
            <w:shd w:fill="C1E5DB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41" w:type="dxa"/>
            <w:tcBorders>
              <w:top w:val="single" w:sz="2" w:space="0" w:color="8C8D8F"/>
            </w:tcBorders>
            <w:shd w:fill="C1E5DB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6" w:type="dxa"/>
            <w:tcBorders/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7"/>
                <w:u w:val="none"/>
                <w:effect w:val="none"/>
              </w:rPr>
              <w:t xml:space="preserve">Annual Incentive </w:t>
            </w:r>
          </w:p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7"/>
                <w:u w:val="none"/>
                <w:effect w:val="none"/>
              </w:rPr>
              <w:t>Metric: Adjusted EBITDA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36" w:type="dxa"/>
            <w:tcBorders/>
            <w:shd w:fill="E0F2ED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</w:rPr>
            </w:pPr>
            <w:r>
              <w:rPr>
                <w:caps w:val="false"/>
                <w:smallCaps w:val="false"/>
              </w:rPr>
              <w:t> </w:t>
            </w:r>
          </w:p>
        </w:tc>
        <w:tc>
          <w:tcPr>
            <w:tcW w:w="1628" w:type="dxa"/>
            <w:tcBorders/>
            <w:shd w:fill="E0F2ED" w:val="clear"/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$0</w:t>
            </w:r>
          </w:p>
        </w:tc>
        <w:tc>
          <w:tcPr>
            <w:tcW w:w="176" w:type="dxa"/>
            <w:tcBorders/>
            <w:shd w:fill="E0F2ED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29" w:type="dxa"/>
            <w:tcBorders/>
            <w:shd w:fill="D0ECE4" w:val="clear"/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> </w:t>
            </w:r>
          </w:p>
        </w:tc>
        <w:tc>
          <w:tcPr>
            <w:tcW w:w="1580" w:type="dxa"/>
            <w:tcBorders/>
            <w:shd w:fill="D0ECE4" w:val="clear"/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$6,600,000</w:t>
            </w:r>
          </w:p>
        </w:tc>
        <w:tc>
          <w:tcPr>
            <w:tcW w:w="171" w:type="dxa"/>
            <w:tcBorders/>
            <w:shd w:fill="D0ECE4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29" w:type="dxa"/>
            <w:tcBorders/>
            <w:shd w:fill="C1E5DB" w:val="clear"/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> </w:t>
            </w:r>
          </w:p>
        </w:tc>
        <w:tc>
          <w:tcPr>
            <w:tcW w:w="1720" w:type="dxa"/>
            <w:tcBorders/>
            <w:shd w:fill="C1E5DB" w:val="clear"/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$13,200,000</w:t>
            </w:r>
          </w:p>
        </w:tc>
        <w:tc>
          <w:tcPr>
            <w:tcW w:w="241" w:type="dxa"/>
            <w:tcBorders/>
            <w:shd w:fill="C1E5DB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6" w:type="dxa"/>
            <w:tcBorders>
              <w:bottom w:val="single" w:sz="2" w:space="0" w:color="8C8D8F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bottom w:val="single" w:sz="2" w:space="0" w:color="8C8D8F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36" w:type="dxa"/>
            <w:tcBorders>
              <w:bottom w:val="single" w:sz="2" w:space="0" w:color="8C8D8F"/>
            </w:tcBorders>
            <w:shd w:fill="E0F2ED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28" w:type="dxa"/>
            <w:tcBorders>
              <w:bottom w:val="single" w:sz="2" w:space="0" w:color="8C8D8F"/>
            </w:tcBorders>
            <w:shd w:fill="E0F2ED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6" w:type="dxa"/>
            <w:tcBorders>
              <w:bottom w:val="single" w:sz="2" w:space="0" w:color="8C8D8F"/>
            </w:tcBorders>
            <w:shd w:fill="E0F2ED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bottom w:val="single" w:sz="2" w:space="0" w:color="8C8D8F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29" w:type="dxa"/>
            <w:tcBorders>
              <w:bottom w:val="single" w:sz="2" w:space="0" w:color="8C8D8F"/>
            </w:tcBorders>
            <w:shd w:fill="D0ECE4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80" w:type="dxa"/>
            <w:tcBorders>
              <w:bottom w:val="single" w:sz="2" w:space="0" w:color="8C8D8F"/>
            </w:tcBorders>
            <w:shd w:fill="D0ECE4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1" w:type="dxa"/>
            <w:tcBorders>
              <w:bottom w:val="single" w:sz="2" w:space="0" w:color="8C8D8F"/>
            </w:tcBorders>
            <w:shd w:fill="D0ECE4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bottom w:val="single" w:sz="2" w:space="0" w:color="8C8D8F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29" w:type="dxa"/>
            <w:tcBorders>
              <w:bottom w:val="single" w:sz="2" w:space="0" w:color="8C8D8F"/>
            </w:tcBorders>
            <w:shd w:fill="C1E5DB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20" w:type="dxa"/>
            <w:tcBorders>
              <w:bottom w:val="single" w:sz="2" w:space="0" w:color="8C8D8F"/>
            </w:tcBorders>
            <w:shd w:fill="C1E5DB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41" w:type="dxa"/>
            <w:tcBorders>
              <w:bottom w:val="single" w:sz="2" w:space="0" w:color="8C8D8F"/>
            </w:tcBorders>
            <w:shd w:fill="C1E5DB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6" w:type="dxa"/>
            <w:tcBorders>
              <w:top w:val="single" w:sz="2" w:space="0" w:color="8C8D8F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top w:val="single" w:sz="2" w:space="0" w:color="8C8D8F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36" w:type="dxa"/>
            <w:tcBorders>
              <w:top w:val="single" w:sz="2" w:space="0" w:color="8C8D8F"/>
            </w:tcBorders>
            <w:shd w:fill="E0F2ED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28" w:type="dxa"/>
            <w:tcBorders>
              <w:top w:val="single" w:sz="2" w:space="0" w:color="8C8D8F"/>
            </w:tcBorders>
            <w:shd w:fill="E0F2ED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6" w:type="dxa"/>
            <w:tcBorders>
              <w:top w:val="single" w:sz="2" w:space="0" w:color="8C8D8F"/>
            </w:tcBorders>
            <w:shd w:fill="E0F2ED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top w:val="single" w:sz="2" w:space="0" w:color="8C8D8F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29" w:type="dxa"/>
            <w:tcBorders>
              <w:top w:val="single" w:sz="2" w:space="0" w:color="8C8D8F"/>
            </w:tcBorders>
            <w:shd w:fill="D0ECE4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80" w:type="dxa"/>
            <w:tcBorders>
              <w:top w:val="single" w:sz="2" w:space="0" w:color="8C8D8F"/>
            </w:tcBorders>
            <w:shd w:fill="D0ECE4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1" w:type="dxa"/>
            <w:tcBorders>
              <w:top w:val="single" w:sz="2" w:space="0" w:color="8C8D8F"/>
            </w:tcBorders>
            <w:shd w:fill="D0ECE4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top w:val="single" w:sz="2" w:space="0" w:color="8C8D8F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29" w:type="dxa"/>
            <w:tcBorders>
              <w:top w:val="single" w:sz="2" w:space="0" w:color="8C8D8F"/>
            </w:tcBorders>
            <w:shd w:fill="C1E5DB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20" w:type="dxa"/>
            <w:tcBorders>
              <w:top w:val="single" w:sz="2" w:space="0" w:color="8C8D8F"/>
            </w:tcBorders>
            <w:shd w:fill="C1E5DB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41" w:type="dxa"/>
            <w:tcBorders>
              <w:top w:val="single" w:sz="2" w:space="0" w:color="8C8D8F"/>
            </w:tcBorders>
            <w:shd w:fill="C1E5DB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6" w:type="dxa"/>
            <w:tcBorders/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/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7"/>
                <w:u w:val="none"/>
                <w:effect w:val="none"/>
              </w:rPr>
              <w:t>Time-Based RSUs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1"/>
                <w:u w:val="none"/>
                <w:effect w:val="none"/>
              </w:rPr>
              <w:t>(1)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36" w:type="dxa"/>
            <w:tcBorders/>
            <w:shd w:fill="E0F2ED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</w:rPr>
            </w:pPr>
            <w:r>
              <w:rPr>
                <w:caps w:val="false"/>
                <w:smallCaps w:val="false"/>
              </w:rPr>
              <w:t> </w:t>
            </w:r>
          </w:p>
        </w:tc>
        <w:tc>
          <w:tcPr>
            <w:tcW w:w="1628" w:type="dxa"/>
            <w:tcBorders/>
            <w:shd w:fill="E0F2ED" w:val="clear"/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$16,604,940</w:t>
            </w:r>
          </w:p>
        </w:tc>
        <w:tc>
          <w:tcPr>
            <w:tcW w:w="176" w:type="dxa"/>
            <w:tcBorders/>
            <w:shd w:fill="E0F2ED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29" w:type="dxa"/>
            <w:tcBorders/>
            <w:shd w:fill="D0ECE4" w:val="clear"/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> </w:t>
            </w:r>
          </w:p>
        </w:tc>
        <w:tc>
          <w:tcPr>
            <w:tcW w:w="1580" w:type="dxa"/>
            <w:tcBorders/>
            <w:shd w:fill="D0ECE4" w:val="clear"/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$16,604,940</w:t>
            </w:r>
          </w:p>
        </w:tc>
        <w:tc>
          <w:tcPr>
            <w:tcW w:w="171" w:type="dxa"/>
            <w:tcBorders/>
            <w:shd w:fill="D0ECE4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29" w:type="dxa"/>
            <w:tcBorders/>
            <w:shd w:fill="C1E5DB" w:val="clear"/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> </w:t>
            </w:r>
          </w:p>
        </w:tc>
        <w:tc>
          <w:tcPr>
            <w:tcW w:w="1720" w:type="dxa"/>
            <w:tcBorders/>
            <w:shd w:fill="C1E5DB" w:val="clear"/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$16,604,940</w:t>
            </w:r>
          </w:p>
        </w:tc>
        <w:tc>
          <w:tcPr>
            <w:tcW w:w="241" w:type="dxa"/>
            <w:tcBorders/>
            <w:shd w:fill="C1E5DB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6" w:type="dxa"/>
            <w:tcBorders>
              <w:bottom w:val="single" w:sz="2" w:space="0" w:color="8C8D8F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bottom w:val="single" w:sz="2" w:space="0" w:color="8C8D8F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36" w:type="dxa"/>
            <w:tcBorders>
              <w:bottom w:val="single" w:sz="2" w:space="0" w:color="8C8D8F"/>
            </w:tcBorders>
            <w:shd w:fill="E0F2ED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28" w:type="dxa"/>
            <w:tcBorders>
              <w:bottom w:val="single" w:sz="2" w:space="0" w:color="8C8D8F"/>
            </w:tcBorders>
            <w:shd w:fill="E0F2ED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6" w:type="dxa"/>
            <w:tcBorders>
              <w:bottom w:val="single" w:sz="2" w:space="0" w:color="8C8D8F"/>
            </w:tcBorders>
            <w:shd w:fill="E0F2ED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bottom w:val="single" w:sz="2" w:space="0" w:color="8C8D8F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29" w:type="dxa"/>
            <w:tcBorders>
              <w:bottom w:val="single" w:sz="2" w:space="0" w:color="8C8D8F"/>
            </w:tcBorders>
            <w:shd w:fill="D0ECE4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80" w:type="dxa"/>
            <w:tcBorders>
              <w:bottom w:val="single" w:sz="2" w:space="0" w:color="8C8D8F"/>
            </w:tcBorders>
            <w:shd w:fill="D0ECE4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1" w:type="dxa"/>
            <w:tcBorders>
              <w:bottom w:val="single" w:sz="2" w:space="0" w:color="8C8D8F"/>
            </w:tcBorders>
            <w:shd w:fill="D0ECE4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bottom w:val="single" w:sz="2" w:space="0" w:color="8C8D8F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29" w:type="dxa"/>
            <w:tcBorders>
              <w:bottom w:val="single" w:sz="2" w:space="0" w:color="8C8D8F"/>
            </w:tcBorders>
            <w:shd w:fill="C1E5DB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20" w:type="dxa"/>
            <w:tcBorders>
              <w:bottom w:val="single" w:sz="2" w:space="0" w:color="8C8D8F"/>
            </w:tcBorders>
            <w:shd w:fill="C1E5DB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41" w:type="dxa"/>
            <w:tcBorders>
              <w:bottom w:val="single" w:sz="2" w:space="0" w:color="8C8D8F"/>
            </w:tcBorders>
            <w:shd w:fill="C1E5DB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6" w:type="dxa"/>
            <w:tcBorders>
              <w:top w:val="single" w:sz="2" w:space="0" w:color="8C8D8F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top w:val="single" w:sz="2" w:space="0" w:color="8C8D8F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36" w:type="dxa"/>
            <w:tcBorders>
              <w:top w:val="single" w:sz="2" w:space="0" w:color="8C8D8F"/>
            </w:tcBorders>
            <w:shd w:fill="E0F2ED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28" w:type="dxa"/>
            <w:tcBorders>
              <w:top w:val="single" w:sz="2" w:space="0" w:color="8C8D8F"/>
            </w:tcBorders>
            <w:shd w:fill="E0F2ED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6" w:type="dxa"/>
            <w:tcBorders>
              <w:top w:val="single" w:sz="2" w:space="0" w:color="8C8D8F"/>
            </w:tcBorders>
            <w:shd w:fill="E0F2ED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top w:val="single" w:sz="2" w:space="0" w:color="8C8D8F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29" w:type="dxa"/>
            <w:tcBorders>
              <w:top w:val="single" w:sz="2" w:space="0" w:color="8C8D8F"/>
            </w:tcBorders>
            <w:shd w:fill="D0ECE4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80" w:type="dxa"/>
            <w:tcBorders>
              <w:top w:val="single" w:sz="2" w:space="0" w:color="8C8D8F"/>
            </w:tcBorders>
            <w:shd w:fill="D0ECE4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1" w:type="dxa"/>
            <w:tcBorders>
              <w:top w:val="single" w:sz="2" w:space="0" w:color="8C8D8F"/>
            </w:tcBorders>
            <w:shd w:fill="D0ECE4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top w:val="single" w:sz="2" w:space="0" w:color="8C8D8F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29" w:type="dxa"/>
            <w:tcBorders>
              <w:top w:val="single" w:sz="2" w:space="0" w:color="8C8D8F"/>
            </w:tcBorders>
            <w:shd w:fill="C1E5DB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20" w:type="dxa"/>
            <w:tcBorders>
              <w:top w:val="single" w:sz="2" w:space="0" w:color="8C8D8F"/>
            </w:tcBorders>
            <w:shd w:fill="C1E5DB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41" w:type="dxa"/>
            <w:tcBorders>
              <w:top w:val="single" w:sz="2" w:space="0" w:color="8C8D8F"/>
            </w:tcBorders>
            <w:shd w:fill="C1E5DB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6" w:type="dxa"/>
            <w:tcBorders/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7"/>
                <w:u w:val="none"/>
                <w:effect w:val="none"/>
              </w:rPr>
              <w:t xml:space="preserve">Performance-Based RSUs </w:t>
            </w:r>
          </w:p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7"/>
                <w:u w:val="none"/>
                <w:effect w:val="none"/>
              </w:rPr>
              <w:t xml:space="preserve">Metrics: TSR and </w:t>
            </w:r>
          </w:p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7"/>
                <w:u w:val="none"/>
                <w:effect w:val="none"/>
              </w:rPr>
              <w:t xml:space="preserve">Recurrent Consumer </w:t>
            </w:r>
          </w:p>
          <w:p>
            <w:pPr>
              <w:pStyle w:val="TableContents"/>
              <w:bidi w:val="0"/>
              <w:spacing w:lineRule="atLeast" w:line="170" w:before="0" w:after="0"/>
              <w:jc w:val="left"/>
              <w:rPr/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7"/>
                <w:u w:val="none"/>
                <w:effect w:val="none"/>
              </w:rPr>
              <w:t>Spending Performance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1"/>
                <w:u w:val="none"/>
                <w:effect w:val="none"/>
              </w:rPr>
              <w:t>(1)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36" w:type="dxa"/>
            <w:tcBorders/>
            <w:shd w:fill="E0F2ED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</w:rPr>
            </w:pPr>
            <w:r>
              <w:rPr>
                <w:caps w:val="false"/>
                <w:smallCaps w:val="false"/>
              </w:rPr>
              <w:t> </w:t>
            </w:r>
          </w:p>
        </w:tc>
        <w:tc>
          <w:tcPr>
            <w:tcW w:w="1628" w:type="dxa"/>
            <w:tcBorders/>
            <w:shd w:fill="E0F2ED" w:val="clear"/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$0</w:t>
            </w:r>
          </w:p>
        </w:tc>
        <w:tc>
          <w:tcPr>
            <w:tcW w:w="176" w:type="dxa"/>
            <w:tcBorders/>
            <w:shd w:fill="E0F2ED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29" w:type="dxa"/>
            <w:tcBorders/>
            <w:shd w:fill="D0ECE4" w:val="clear"/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> </w:t>
            </w:r>
          </w:p>
        </w:tc>
        <w:tc>
          <w:tcPr>
            <w:tcW w:w="1580" w:type="dxa"/>
            <w:tcBorders/>
            <w:shd w:fill="D0ECE4" w:val="clear"/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$33,713,060</w:t>
            </w:r>
          </w:p>
        </w:tc>
        <w:tc>
          <w:tcPr>
            <w:tcW w:w="171" w:type="dxa"/>
            <w:tcBorders/>
            <w:shd w:fill="D0ECE4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29" w:type="dxa"/>
            <w:tcBorders/>
            <w:shd w:fill="C1E5DB" w:val="clear"/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> </w:t>
            </w:r>
          </w:p>
        </w:tc>
        <w:tc>
          <w:tcPr>
            <w:tcW w:w="1720" w:type="dxa"/>
            <w:tcBorders/>
            <w:shd w:fill="C1E5DB" w:val="clear"/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$67,426,120</w:t>
            </w:r>
          </w:p>
        </w:tc>
        <w:tc>
          <w:tcPr>
            <w:tcW w:w="241" w:type="dxa"/>
            <w:tcBorders/>
            <w:shd w:fill="C1E5DB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6" w:type="dxa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36" w:type="dxa"/>
            <w:tcBorders>
              <w:bottom w:val="single" w:sz="4" w:space="0" w:color="18333C"/>
            </w:tcBorders>
            <w:shd w:fill="E0F2ED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28" w:type="dxa"/>
            <w:tcBorders>
              <w:bottom w:val="single" w:sz="4" w:space="0" w:color="18333C"/>
            </w:tcBorders>
            <w:shd w:fill="E0F2ED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6" w:type="dxa"/>
            <w:tcBorders>
              <w:bottom w:val="single" w:sz="4" w:space="0" w:color="18333C"/>
            </w:tcBorders>
            <w:shd w:fill="E0F2ED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29" w:type="dxa"/>
            <w:tcBorders>
              <w:bottom w:val="single" w:sz="4" w:space="0" w:color="18333C"/>
            </w:tcBorders>
            <w:shd w:fill="D0ECE4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80" w:type="dxa"/>
            <w:tcBorders>
              <w:bottom w:val="single" w:sz="4" w:space="0" w:color="18333C"/>
            </w:tcBorders>
            <w:shd w:fill="D0ECE4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1" w:type="dxa"/>
            <w:tcBorders>
              <w:bottom w:val="single" w:sz="4" w:space="0" w:color="18333C"/>
            </w:tcBorders>
            <w:shd w:fill="D0ECE4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29" w:type="dxa"/>
            <w:tcBorders>
              <w:bottom w:val="single" w:sz="4" w:space="0" w:color="18333C"/>
            </w:tcBorders>
            <w:shd w:fill="C1E5DB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20" w:type="dxa"/>
            <w:tcBorders>
              <w:bottom w:val="single" w:sz="4" w:space="0" w:color="18333C"/>
            </w:tcBorders>
            <w:shd w:fill="C1E5DB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41" w:type="dxa"/>
            <w:tcBorders>
              <w:bottom w:val="single" w:sz="4" w:space="0" w:color="18333C"/>
            </w:tcBorders>
            <w:shd w:fill="C1E5DB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6" w:type="dxa"/>
            <w:tcBorders>
              <w:top w:val="single" w:sz="4" w:space="0" w:color="18333C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top w:val="single" w:sz="4" w:space="0" w:color="18333C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36" w:type="dxa"/>
            <w:tcBorders>
              <w:top w:val="single" w:sz="4" w:space="0" w:color="18333C"/>
            </w:tcBorders>
            <w:shd w:fill="E0F2ED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28" w:type="dxa"/>
            <w:tcBorders>
              <w:top w:val="single" w:sz="4" w:space="0" w:color="18333C"/>
            </w:tcBorders>
            <w:shd w:fill="E0F2ED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6" w:type="dxa"/>
            <w:tcBorders>
              <w:top w:val="single" w:sz="4" w:space="0" w:color="18333C"/>
            </w:tcBorders>
            <w:shd w:fill="E0F2ED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top w:val="single" w:sz="4" w:space="0" w:color="18333C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29" w:type="dxa"/>
            <w:tcBorders>
              <w:top w:val="single" w:sz="4" w:space="0" w:color="18333C"/>
            </w:tcBorders>
            <w:shd w:fill="D0ECE4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80" w:type="dxa"/>
            <w:tcBorders>
              <w:top w:val="single" w:sz="4" w:space="0" w:color="18333C"/>
            </w:tcBorders>
            <w:shd w:fill="D0ECE4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1" w:type="dxa"/>
            <w:tcBorders>
              <w:top w:val="single" w:sz="4" w:space="0" w:color="18333C"/>
            </w:tcBorders>
            <w:shd w:fill="D0ECE4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top w:val="single" w:sz="4" w:space="0" w:color="18333C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29" w:type="dxa"/>
            <w:tcBorders>
              <w:top w:val="single" w:sz="4" w:space="0" w:color="18333C"/>
            </w:tcBorders>
            <w:shd w:fill="C1E5DB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20" w:type="dxa"/>
            <w:tcBorders>
              <w:top w:val="single" w:sz="4" w:space="0" w:color="18333C"/>
            </w:tcBorders>
            <w:shd w:fill="C1E5DB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41" w:type="dxa"/>
            <w:tcBorders>
              <w:top w:val="single" w:sz="4" w:space="0" w:color="18333C"/>
            </w:tcBorders>
            <w:shd w:fill="C1E5DB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6" w:type="dxa"/>
            <w:tcBorders/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sz w:val="17"/>
                <w:u w:val="none"/>
                <w:effect w:val="none"/>
              </w:rPr>
              <w:t xml:space="preserve">Total Compensation </w:t>
            </w:r>
          </w:p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sz w:val="17"/>
                <w:u w:val="none"/>
                <w:effect w:val="none"/>
              </w:rPr>
              <w:t>Opportunity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36" w:type="dxa"/>
            <w:tcBorders/>
            <w:shd w:fill="E0F2ED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caps w:val="false"/>
                <w:smallCaps w:val="false"/>
              </w:rPr>
            </w:pPr>
            <w:r>
              <w:rPr>
                <w:caps w:val="false"/>
                <w:smallCaps w:val="false"/>
              </w:rPr>
              <w:t> </w:t>
            </w:r>
          </w:p>
        </w:tc>
        <w:tc>
          <w:tcPr>
            <w:tcW w:w="1628" w:type="dxa"/>
            <w:tcBorders/>
            <w:shd w:fill="E0F2ED" w:val="clear"/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$19,904,940</w:t>
            </w:r>
          </w:p>
        </w:tc>
        <w:tc>
          <w:tcPr>
            <w:tcW w:w="176" w:type="dxa"/>
            <w:tcBorders/>
            <w:shd w:fill="E0F2ED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29" w:type="dxa"/>
            <w:tcBorders/>
            <w:shd w:fill="D0ECE4" w:val="clear"/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> </w:t>
            </w:r>
          </w:p>
        </w:tc>
        <w:tc>
          <w:tcPr>
            <w:tcW w:w="1580" w:type="dxa"/>
            <w:tcBorders/>
            <w:shd w:fill="D0ECE4" w:val="clear"/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$60,218,000</w:t>
            </w:r>
          </w:p>
        </w:tc>
        <w:tc>
          <w:tcPr>
            <w:tcW w:w="171" w:type="dxa"/>
            <w:tcBorders/>
            <w:shd w:fill="D0ECE4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29" w:type="dxa"/>
            <w:tcBorders/>
            <w:shd w:fill="C1E5DB" w:val="clear"/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> </w:t>
            </w:r>
          </w:p>
        </w:tc>
        <w:tc>
          <w:tcPr>
            <w:tcW w:w="1720" w:type="dxa"/>
            <w:tcBorders/>
            <w:shd w:fill="C1E5DB" w:val="clear"/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$100,531,060</w:t>
            </w:r>
          </w:p>
        </w:tc>
        <w:tc>
          <w:tcPr>
            <w:tcW w:w="241" w:type="dxa"/>
            <w:tcBorders/>
            <w:shd w:fill="C1E5DB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6" w:type="dxa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36" w:type="dxa"/>
            <w:tcBorders>
              <w:bottom w:val="single" w:sz="4" w:space="0" w:color="18333C"/>
            </w:tcBorders>
            <w:shd w:fill="E0F2ED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28" w:type="dxa"/>
            <w:tcBorders>
              <w:bottom w:val="single" w:sz="4" w:space="0" w:color="18333C"/>
            </w:tcBorders>
            <w:shd w:fill="E0F2ED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6" w:type="dxa"/>
            <w:tcBorders>
              <w:bottom w:val="single" w:sz="4" w:space="0" w:color="18333C"/>
            </w:tcBorders>
            <w:shd w:fill="E0F2ED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29" w:type="dxa"/>
            <w:tcBorders>
              <w:bottom w:val="single" w:sz="4" w:space="0" w:color="18333C"/>
            </w:tcBorders>
            <w:shd w:fill="D0ECE4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80" w:type="dxa"/>
            <w:tcBorders>
              <w:bottom w:val="single" w:sz="4" w:space="0" w:color="18333C"/>
            </w:tcBorders>
            <w:shd w:fill="D0ECE4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1" w:type="dxa"/>
            <w:tcBorders>
              <w:bottom w:val="single" w:sz="4" w:space="0" w:color="18333C"/>
            </w:tcBorders>
            <w:shd w:fill="D0ECE4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29" w:type="dxa"/>
            <w:tcBorders>
              <w:bottom w:val="single" w:sz="4" w:space="0" w:color="18333C"/>
            </w:tcBorders>
            <w:shd w:fill="C1E5DB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20" w:type="dxa"/>
            <w:tcBorders>
              <w:bottom w:val="single" w:sz="4" w:space="0" w:color="18333C"/>
            </w:tcBorders>
            <w:shd w:fill="C1E5DB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41" w:type="dxa"/>
            <w:tcBorders>
              <w:bottom w:val="single" w:sz="4" w:space="0" w:color="18333C"/>
            </w:tcBorders>
            <w:shd w:fill="C1E5DB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6" w:type="dxa"/>
            <w:tcBorders>
              <w:top w:val="single" w:sz="4" w:space="0" w:color="18333C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top w:val="single" w:sz="4" w:space="0" w:color="18333C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36" w:type="dxa"/>
            <w:tcBorders>
              <w:top w:val="single" w:sz="4" w:space="0" w:color="18333C"/>
            </w:tcBorders>
            <w:shd w:fill="E0F2ED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28" w:type="dxa"/>
            <w:tcBorders>
              <w:top w:val="single" w:sz="4" w:space="0" w:color="18333C"/>
            </w:tcBorders>
            <w:shd w:fill="E0F2ED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6" w:type="dxa"/>
            <w:tcBorders>
              <w:top w:val="single" w:sz="4" w:space="0" w:color="18333C"/>
            </w:tcBorders>
            <w:shd w:fill="E0F2ED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top w:val="single" w:sz="4" w:space="0" w:color="18333C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29" w:type="dxa"/>
            <w:tcBorders>
              <w:top w:val="single" w:sz="4" w:space="0" w:color="18333C"/>
            </w:tcBorders>
            <w:shd w:fill="D0ECE4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80" w:type="dxa"/>
            <w:tcBorders>
              <w:top w:val="single" w:sz="4" w:space="0" w:color="18333C"/>
            </w:tcBorders>
            <w:shd w:fill="D0ECE4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1" w:type="dxa"/>
            <w:tcBorders>
              <w:top w:val="single" w:sz="4" w:space="0" w:color="18333C"/>
            </w:tcBorders>
            <w:shd w:fill="D0ECE4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top w:val="single" w:sz="4" w:space="0" w:color="18333C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29" w:type="dxa"/>
            <w:tcBorders>
              <w:top w:val="single" w:sz="4" w:space="0" w:color="18333C"/>
            </w:tcBorders>
            <w:shd w:fill="C1E5DB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20" w:type="dxa"/>
            <w:tcBorders>
              <w:top w:val="single" w:sz="4" w:space="0" w:color="18333C"/>
            </w:tcBorders>
            <w:shd w:fill="C1E5DB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41" w:type="dxa"/>
            <w:tcBorders>
              <w:top w:val="single" w:sz="4" w:space="0" w:color="18333C"/>
            </w:tcBorders>
            <w:shd w:fill="C1E5DB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6" w:type="dxa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sz w:val="17"/>
                <w:u w:val="none"/>
                <w:effect w:val="none"/>
              </w:rPr>
              <w:t>Maximum Opportunity at </w:t>
            </w:r>
          </w:p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sz w:val="17"/>
                <w:u w:val="none"/>
                <w:effect w:val="none"/>
              </w:rPr>
              <w:t>Each Performance Level</w:t>
            </w:r>
          </w:p>
        </w:tc>
        <w:tc>
          <w:tcPr>
            <w:tcW w:w="109" w:type="dxa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gridSpan w:val="3"/>
            <w:tcBorders>
              <w:bottom w:val="single" w:sz="4" w:space="0" w:color="18333C"/>
            </w:tcBorders>
            <w:shd w:fill="E0F2ED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061085" cy="1188720"/>
                  <wp:effectExtent l="0" t="0" r="0" b="0"/>
                  <wp:docPr id="281" name="Image28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1" name="Image28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1085" cy="11887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285" w:name="i-281"/>
            <w:bookmarkEnd w:id="285"/>
          </w:p>
        </w:tc>
        <w:tc>
          <w:tcPr>
            <w:tcW w:w="109" w:type="dxa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980" w:type="dxa"/>
            <w:gridSpan w:val="3"/>
            <w:tcBorders>
              <w:bottom w:val="single" w:sz="4" w:space="0" w:color="18333C"/>
            </w:tcBorders>
            <w:shd w:fill="D0ECE4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097280" cy="1188720"/>
                  <wp:effectExtent l="0" t="0" r="0" b="0"/>
                  <wp:docPr id="282" name="Image28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2" name="Image28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7280" cy="11887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286" w:name="i-282"/>
            <w:bookmarkEnd w:id="286"/>
          </w:p>
        </w:tc>
        <w:tc>
          <w:tcPr>
            <w:tcW w:w="109" w:type="dxa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190" w:type="dxa"/>
            <w:gridSpan w:val="3"/>
            <w:tcBorders>
              <w:bottom w:val="single" w:sz="4" w:space="0" w:color="18333C"/>
            </w:tcBorders>
            <w:shd w:fill="C1E5DB" w:val="clear"/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097280" cy="1188720"/>
                  <wp:effectExtent l="0" t="0" r="0" b="0"/>
                  <wp:docPr id="283" name="Image283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3" name="Image283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7280" cy="11887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287" w:name="i-283"/>
            <w:bookmarkEnd w:id="287"/>
          </w:p>
        </w:tc>
      </w:tr>
    </w:tbl>
    <w:p>
      <w:pPr>
        <w:pStyle w:val="TextBody"/>
        <w:bidi w:val="0"/>
        <w:spacing w:lineRule="atLeast" w:line="142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(1)For purposes of this illustrative table, includes the planning values for the performance-based and time-based RSUs granted to ZMC in June 2025.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The targets set by the Board of Directors have been sufficiently challenging as illustrated by the varied payouts to ZMC under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the Annual Incentive Plan and Performance Equity Awards over the last several years:</w:t>
      </w:r>
      <w:r>
        <w:rPr>
          <w:caps w:val="false"/>
          <w:smallCaps w:val="false"/>
          <w:u w:val="single"/>
        </w:rPr>
        <w:t xml:space="preserve"> </w:t>
      </w:r>
    </w:p>
    <w:tbl>
      <w:tblPr>
        <w:tblW w:w="5883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976"/>
        <w:gridCol w:w="2176"/>
        <w:gridCol w:w="2731"/>
      </w:tblGrid>
      <w:tr>
        <w:trPr/>
        <w:tc>
          <w:tcPr>
            <w:tcW w:w="9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1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76" w:type="dxa"/>
            <w:tcBorders/>
            <w:shd w:fill="64BFA6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176" w:type="dxa"/>
            <w:tcBorders/>
            <w:shd w:fill="64BFA6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31" w:type="dxa"/>
            <w:tcBorders/>
            <w:shd w:fill="64BFA6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5883" w:type="dxa"/>
            <w:gridSpan w:val="3"/>
            <w:tcBorders/>
            <w:shd w:fill="64BFA6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Annual Incentive Plan Achievement</w:t>
            </w:r>
          </w:p>
        </w:tc>
      </w:tr>
      <w:tr>
        <w:trPr/>
        <w:tc>
          <w:tcPr>
            <w:tcW w:w="976" w:type="dxa"/>
            <w:tcBorders/>
            <w:shd w:fill="64BFA6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176" w:type="dxa"/>
            <w:tcBorders/>
            <w:shd w:fill="64BFA6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31" w:type="dxa"/>
            <w:tcBorders/>
            <w:shd w:fill="64BFA6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76" w:type="dxa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Fiscal Year</w:t>
            </w:r>
          </w:p>
        </w:tc>
        <w:tc>
          <w:tcPr>
            <w:tcW w:w="2176" w:type="dxa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 xml:space="preserve">Adjusted EBITDA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Achievement (% of target)</w:t>
            </w:r>
          </w:p>
        </w:tc>
        <w:tc>
          <w:tcPr>
            <w:tcW w:w="2731" w:type="dxa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Annual Incentive Plan Payout</w:t>
            </w:r>
          </w:p>
        </w:tc>
      </w:tr>
      <w:tr>
        <w:trPr/>
        <w:tc>
          <w:tcPr>
            <w:tcW w:w="976" w:type="dxa"/>
            <w:tcBorders>
              <w:top w:val="single" w:sz="4" w:space="0" w:color="18333C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2026</w:t>
            </w:r>
          </w:p>
        </w:tc>
        <w:tc>
          <w:tcPr>
            <w:tcW w:w="2176" w:type="dxa"/>
            <w:tcBorders>
              <w:top w:val="single" w:sz="4" w:space="0" w:color="18333C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152.4%</w:t>
            </w:r>
          </w:p>
        </w:tc>
        <w:tc>
          <w:tcPr>
            <w:tcW w:w="2731" w:type="dxa"/>
            <w:tcBorders>
              <w:top w:val="single" w:sz="4" w:space="0" w:color="18333C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Maximum cash bonus</w:t>
            </w:r>
          </w:p>
        </w:tc>
      </w:tr>
      <w:tr>
        <w:trPr/>
        <w:tc>
          <w:tcPr>
            <w:tcW w:w="97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2025</w:t>
            </w:r>
          </w:p>
        </w:tc>
        <w:tc>
          <w:tcPr>
            <w:tcW w:w="217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99.9%</w:t>
            </w:r>
          </w:p>
        </w:tc>
        <w:tc>
          <w:tcPr>
            <w:tcW w:w="2731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Slightly less than target cash bonus</w:t>
            </w:r>
          </w:p>
        </w:tc>
      </w:tr>
      <w:tr>
        <w:trPr/>
        <w:tc>
          <w:tcPr>
            <w:tcW w:w="97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2024</w:t>
            </w:r>
          </w:p>
        </w:tc>
        <w:tc>
          <w:tcPr>
            <w:tcW w:w="217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88.6%</w:t>
            </w:r>
          </w:p>
        </w:tc>
        <w:tc>
          <w:tcPr>
            <w:tcW w:w="2731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Less than target cash bonus</w:t>
            </w:r>
          </w:p>
        </w:tc>
      </w:tr>
      <w:tr>
        <w:trPr/>
        <w:tc>
          <w:tcPr>
            <w:tcW w:w="97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2023</w:t>
            </w:r>
          </w:p>
        </w:tc>
        <w:tc>
          <w:tcPr>
            <w:tcW w:w="217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79.2%</w:t>
            </w:r>
          </w:p>
        </w:tc>
        <w:tc>
          <w:tcPr>
            <w:tcW w:w="2731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No cash bonus</w:t>
            </w:r>
          </w:p>
        </w:tc>
      </w:tr>
      <w:tr>
        <w:trPr/>
        <w:tc>
          <w:tcPr>
            <w:tcW w:w="976" w:type="dxa"/>
            <w:tcBorders>
              <w:top w:val="single" w:sz="2" w:space="0" w:color="8C8D8F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2022</w:t>
            </w:r>
          </w:p>
        </w:tc>
        <w:tc>
          <w:tcPr>
            <w:tcW w:w="2176" w:type="dxa"/>
            <w:tcBorders>
              <w:top w:val="single" w:sz="2" w:space="0" w:color="8C8D8F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139.8%</w:t>
            </w:r>
          </w:p>
        </w:tc>
        <w:tc>
          <w:tcPr>
            <w:tcW w:w="2731" w:type="dxa"/>
            <w:tcBorders>
              <w:top w:val="single" w:sz="2" w:space="0" w:color="8C8D8F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Less than maximum cash bonus</w:t>
            </w:r>
          </w:p>
        </w:tc>
      </w:tr>
    </w:tbl>
    <w:tbl>
      <w:tblPr>
        <w:tblW w:w="493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301"/>
        <w:gridCol w:w="4636"/>
      </w:tblGrid>
      <w:tr>
        <w:trPr/>
        <w:tc>
          <w:tcPr>
            <w:tcW w:w="30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0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40</w:t>
            </w:r>
          </w:p>
        </w:tc>
        <w:tc>
          <w:tcPr>
            <w:tcW w:w="4636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sz w:val="24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TAKE-TWO INTERACTIVE SOFTWARE, INC.   |   2026</w:t>
            </w:r>
            <w:r>
              <w:rPr>
                <w:caps w:val="false"/>
                <w:smallCaps w:val="false"/>
                <w:strike w:val="false"/>
                <w:dstrike w:val="false"/>
                <w:color w:val="18333C"/>
                <w:sz w:val="24"/>
                <w:u w:val="none"/>
                <w:effect w:val="none"/>
              </w:rPr>
              <w:t xml:space="preserve"> 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Proxy Statement</w:t>
            </w:r>
          </w:p>
        </w:tc>
      </w:tr>
    </w:tbl>
    <w:p>
      <w:pPr>
        <w:pStyle w:val="TextBody"/>
        <w:bidi w:val="0"/>
        <w:spacing w:lineRule="atLeast" w:line="142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3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3"/>
          <w:u w:val="none"/>
          <w:effect w:val="none"/>
        </w:rPr>
        <w:t>COMPENSATION DISCUSSION AND ANALYSIS</w:t>
      </w:r>
    </w:p>
    <w:p>
      <w:pPr>
        <w:pStyle w:val="TextBody"/>
        <w:bidi w:val="0"/>
        <w:spacing w:lineRule="atLeast" w:line="142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2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2"/>
          <w:u w:val="none"/>
          <w:effect w:val="none"/>
        </w:rPr>
        <w:t>DETAILED DISCUSSION AND ANALYSIS</w:t>
      </w:r>
    </w:p>
    <w:tbl>
      <w:tblPr>
        <w:tblW w:w="5688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76"/>
        <w:gridCol w:w="1666"/>
        <w:gridCol w:w="2746"/>
      </w:tblGrid>
      <w:tr>
        <w:trPr/>
        <w:tc>
          <w:tcPr>
            <w:tcW w:w="12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6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76" w:type="dxa"/>
            <w:tcBorders/>
            <w:shd w:fill="64BFA6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66" w:type="dxa"/>
            <w:tcBorders/>
            <w:shd w:fill="64BFA6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46" w:type="dxa"/>
            <w:tcBorders/>
            <w:shd w:fill="64BFA6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5688" w:type="dxa"/>
            <w:gridSpan w:val="3"/>
            <w:tcBorders/>
            <w:shd w:fill="64BFA6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Performance Equity Vesting Achievement</w:t>
            </w:r>
          </w:p>
        </w:tc>
      </w:tr>
      <w:tr>
        <w:trPr/>
        <w:tc>
          <w:tcPr>
            <w:tcW w:w="1276" w:type="dxa"/>
            <w:tcBorders/>
            <w:shd w:fill="64BFA6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66" w:type="dxa"/>
            <w:tcBorders/>
            <w:shd w:fill="64BFA6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46" w:type="dxa"/>
            <w:tcBorders/>
            <w:shd w:fill="64BFA6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76" w:type="dxa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Vest Date</w:t>
            </w:r>
          </w:p>
        </w:tc>
        <w:tc>
          <w:tcPr>
            <w:tcW w:w="1666" w:type="dxa"/>
            <w:tcBorders>
              <w:bottom w:val="single" w:sz="4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Shares Forfeited (#)</w:t>
            </w:r>
          </w:p>
        </w:tc>
        <w:tc>
          <w:tcPr>
            <w:tcW w:w="2746" w:type="dxa"/>
            <w:tcBorders>
              <w:bottom w:val="single" w:sz="4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Shares Forfeited (% of maximum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performance opportunity)</w:t>
            </w:r>
          </w:p>
        </w:tc>
      </w:tr>
      <w:tr>
        <w:trPr/>
        <w:tc>
          <w:tcPr>
            <w:tcW w:w="1276" w:type="dxa"/>
            <w:tcBorders>
              <w:top w:val="single" w:sz="4" w:space="0" w:color="18333C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7"/>
                <w:u w:val="none"/>
                <w:effect w:val="none"/>
              </w:rPr>
              <w:t>June 1, 2026</w:t>
            </w:r>
          </w:p>
        </w:tc>
        <w:tc>
          <w:tcPr>
            <w:tcW w:w="1666" w:type="dxa"/>
            <w:tcBorders>
              <w:top w:val="single" w:sz="4" w:space="0" w:color="000000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7"/>
                <w:u w:val="none"/>
                <w:effect w:val="none"/>
              </w:rPr>
              <w:t>64,812</w:t>
            </w:r>
          </w:p>
        </w:tc>
        <w:tc>
          <w:tcPr>
            <w:tcW w:w="2746" w:type="dxa"/>
            <w:tcBorders>
              <w:top w:val="single" w:sz="4" w:space="0" w:color="000000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7"/>
                <w:u w:val="none"/>
                <w:effect w:val="none"/>
              </w:rPr>
              <w:t>17%</w:t>
            </w:r>
          </w:p>
        </w:tc>
      </w:tr>
      <w:tr>
        <w:trPr/>
        <w:tc>
          <w:tcPr>
            <w:tcW w:w="127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/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7"/>
                <w:u w:val="none"/>
                <w:effect w:val="none"/>
              </w:rPr>
              <w:t xml:space="preserve">May 30, 2025 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1"/>
                <w:u w:val="none"/>
                <w:effect w:val="none"/>
              </w:rPr>
              <w:t>(1)</w:t>
            </w:r>
          </w:p>
        </w:tc>
        <w:tc>
          <w:tcPr>
            <w:tcW w:w="166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0</w:t>
            </w:r>
          </w:p>
        </w:tc>
        <w:tc>
          <w:tcPr>
            <w:tcW w:w="274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0%</w:t>
            </w:r>
          </w:p>
        </w:tc>
      </w:tr>
      <w:tr>
        <w:trPr/>
        <w:tc>
          <w:tcPr>
            <w:tcW w:w="127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May 31, 2024</w:t>
            </w:r>
          </w:p>
        </w:tc>
        <w:tc>
          <w:tcPr>
            <w:tcW w:w="166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67,920</w:t>
            </w:r>
          </w:p>
        </w:tc>
        <w:tc>
          <w:tcPr>
            <w:tcW w:w="274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45%</w:t>
            </w:r>
          </w:p>
        </w:tc>
      </w:tr>
      <w:tr>
        <w:trPr/>
        <w:tc>
          <w:tcPr>
            <w:tcW w:w="127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April 12, 2024</w:t>
            </w:r>
          </w:p>
        </w:tc>
        <w:tc>
          <w:tcPr>
            <w:tcW w:w="166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18,876</w:t>
            </w:r>
          </w:p>
        </w:tc>
        <w:tc>
          <w:tcPr>
            <w:tcW w:w="274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14%</w:t>
            </w:r>
          </w:p>
        </w:tc>
      </w:tr>
      <w:tr>
        <w:trPr/>
        <w:tc>
          <w:tcPr>
            <w:tcW w:w="127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April 13, 2023</w:t>
            </w:r>
          </w:p>
        </w:tc>
        <w:tc>
          <w:tcPr>
            <w:tcW w:w="166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40,985</w:t>
            </w:r>
          </w:p>
        </w:tc>
        <w:tc>
          <w:tcPr>
            <w:tcW w:w="274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33%</w:t>
            </w:r>
          </w:p>
        </w:tc>
      </w:tr>
      <w:tr>
        <w:trPr/>
        <w:tc>
          <w:tcPr>
            <w:tcW w:w="1276" w:type="dxa"/>
            <w:tcBorders>
              <w:top w:val="single" w:sz="2" w:space="0" w:color="8C8D8F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April 13, 2022</w:t>
            </w:r>
          </w:p>
        </w:tc>
        <w:tc>
          <w:tcPr>
            <w:tcW w:w="1666" w:type="dxa"/>
            <w:tcBorders>
              <w:top w:val="single" w:sz="2" w:space="0" w:color="8C8D8F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55,126</w:t>
            </w:r>
          </w:p>
        </w:tc>
        <w:tc>
          <w:tcPr>
            <w:tcW w:w="2746" w:type="dxa"/>
            <w:tcBorders>
              <w:top w:val="single" w:sz="2" w:space="0" w:color="8C8D8F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29%</w:t>
            </w:r>
          </w:p>
        </w:tc>
      </w:tr>
    </w:tbl>
    <w:p>
      <w:pPr>
        <w:pStyle w:val="TextBody"/>
        <w:bidi w:val="0"/>
        <w:spacing w:lineRule="atLeast" w:line="142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(1)The Company’s relative TSR achievement for the awards that vested in fiscal 2026 was the 78th percentile, which resulted in the maximum vesting percentage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42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for the TSR performance-based RSUs, (i.e. 200% of target), and no shares being forfeited. The Company’s RCS achievement for the awards that vested in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42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fiscal 2026 was in excess of the maximum goal, which resulted in the maximum vesting percentage for the RCS performance-based RSUs (i.e., 200% of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42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target), and no shares being forfeited.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Additionally, the compensation received by ZMC and the other NEOs is strongly aligned with the Company’s TSR performance.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The Company has consistently delivered TSR performance sufficient to earn vesting of TSR-based awards, including top-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quartile performance for the periods ended March 31, 2021 and March 31, 2025, and above 50th percentile performance for the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periods ended March 31, 2022, March 31, 2023, March 31, 2024, and March 31, 2026.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4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24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24"/>
          <w:u w:val="none"/>
          <w:effect w:val="none"/>
        </w:rPr>
        <w:t>IV. Other NEO Compensation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Other NEOs for fiscal 2026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were Ms. Goldstein, our Chief Financial Officer, and Mr. Emerson, our Executive Vice President and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Chief Legal Officer. Pay opportunities for specific individuals vary based on a number of factors, such as scope of duties,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tenure, institutional knowledge and/or difficulty in recruiting a new executive. Actual total compensation and the mix of such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compensation in a given year will vary above or below the target compensation levels based primarily on the attainment of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operational goals and the creation of shareholder value. The Compensation Committee believes that each of the compensation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packages to Ms. Goldstein and Mr. Emerson are within the competitive range of practices when compared to the objective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comparative data.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B0295B"/>
          <w:sz w:val="20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B0295B"/>
          <w:sz w:val="20"/>
          <w:u w:val="none"/>
          <w:effect w:val="none"/>
        </w:rPr>
        <w:t>Compensation Overview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In May 2018 and January 2015, the Company entered into amended employment agreements with Ms. Goldstein and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Mr. Emerson, respectively, which provide for a base salary, target cash bonus, and target long-term incentive compensation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opportunities. The details of those employment agreements are discussed below under “Executive Compensation—Narrative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Disclosure Regarding Equity Plans and Employment Agreements—Employment Agreements.”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Ms. Goldstein’s and Mr. Emerson’s fiscal 2026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target compensation was comprised of:</w:t>
      </w:r>
    </w:p>
    <w:tbl>
      <w:tblPr>
        <w:tblW w:w="774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16"/>
        <w:gridCol w:w="109"/>
        <w:gridCol w:w="916"/>
        <w:gridCol w:w="109"/>
        <w:gridCol w:w="109"/>
        <w:gridCol w:w="916"/>
        <w:gridCol w:w="1726"/>
        <w:gridCol w:w="109"/>
        <w:gridCol w:w="256"/>
        <w:gridCol w:w="2279"/>
      </w:tblGrid>
      <w:tr>
        <w:trPr/>
        <w:tc>
          <w:tcPr>
            <w:tcW w:w="121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27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16" w:type="dxa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25" w:type="dxa"/>
            <w:gridSpan w:val="2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Base Salary</w:t>
            </w:r>
          </w:p>
        </w:tc>
        <w:tc>
          <w:tcPr>
            <w:tcW w:w="109" w:type="dxa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51" w:type="dxa"/>
            <w:gridSpan w:val="3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Target Annual Cash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Bonus Opportunity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(based on Adjusted EBITDA)</w:t>
            </w:r>
          </w:p>
        </w:tc>
        <w:tc>
          <w:tcPr>
            <w:tcW w:w="109" w:type="dxa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35" w:type="dxa"/>
            <w:gridSpan w:val="2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Target Equity Incentive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Opportunity (66.7% subject to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performance vesting)</w:t>
            </w:r>
          </w:p>
        </w:tc>
      </w:tr>
      <w:tr>
        <w:trPr/>
        <w:tc>
          <w:tcPr>
            <w:tcW w:w="1216" w:type="dxa"/>
            <w:tcBorders>
              <w:top w:val="single" w:sz="4" w:space="0" w:color="18333C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Ms. Goldstein</w:t>
            </w:r>
          </w:p>
        </w:tc>
        <w:tc>
          <w:tcPr>
            <w:tcW w:w="109" w:type="dxa"/>
            <w:tcBorders>
              <w:top w:val="single" w:sz="4" w:space="0" w:color="18333C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6" w:type="dxa"/>
            <w:tcBorders>
              <w:top w:val="single" w:sz="4" w:space="0" w:color="18333C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$1,000,000</w:t>
            </w:r>
          </w:p>
        </w:tc>
        <w:tc>
          <w:tcPr>
            <w:tcW w:w="109" w:type="dxa"/>
            <w:tcBorders>
              <w:top w:val="single" w:sz="4" w:space="0" w:color="18333C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top w:val="single" w:sz="4" w:space="0" w:color="18333C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6" w:type="dxa"/>
            <w:tcBorders>
              <w:top w:val="single" w:sz="4" w:space="0" w:color="18333C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$1,500,000</w:t>
            </w:r>
          </w:p>
        </w:tc>
        <w:tc>
          <w:tcPr>
            <w:tcW w:w="1726" w:type="dxa"/>
            <w:tcBorders>
              <w:top w:val="single" w:sz="4" w:space="0" w:color="18333C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(150% of base salary)</w:t>
            </w:r>
          </w:p>
        </w:tc>
        <w:tc>
          <w:tcPr>
            <w:tcW w:w="109" w:type="dxa"/>
            <w:tcBorders>
              <w:top w:val="single" w:sz="4" w:space="0" w:color="18333C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6" w:type="dxa"/>
            <w:tcBorders>
              <w:top w:val="single" w:sz="4" w:space="0" w:color="18333C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279" w:type="dxa"/>
            <w:tcBorders>
              <w:top w:val="single" w:sz="4" w:space="0" w:color="18333C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$6,120,000</w:t>
            </w:r>
          </w:p>
        </w:tc>
      </w:tr>
      <w:tr>
        <w:trPr/>
        <w:tc>
          <w:tcPr>
            <w:tcW w:w="1216" w:type="dxa"/>
            <w:tcBorders>
              <w:top w:val="single" w:sz="2" w:space="0" w:color="8C8D8F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Mr. Emerson</w:t>
            </w:r>
          </w:p>
        </w:tc>
        <w:tc>
          <w:tcPr>
            <w:tcW w:w="109" w:type="dxa"/>
            <w:tcBorders>
              <w:top w:val="single" w:sz="2" w:space="0" w:color="8C8D8F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6" w:type="dxa"/>
            <w:tcBorders>
              <w:top w:val="single" w:sz="2" w:space="0" w:color="8C8D8F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$850,000</w:t>
            </w:r>
          </w:p>
        </w:tc>
        <w:tc>
          <w:tcPr>
            <w:tcW w:w="109" w:type="dxa"/>
            <w:tcBorders>
              <w:top w:val="single" w:sz="2" w:space="0" w:color="8C8D8F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top w:val="single" w:sz="2" w:space="0" w:color="8C8D8F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6" w:type="dxa"/>
            <w:tcBorders>
              <w:top w:val="single" w:sz="2" w:space="0" w:color="8C8D8F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$1,062,500</w:t>
            </w:r>
          </w:p>
        </w:tc>
        <w:tc>
          <w:tcPr>
            <w:tcW w:w="1726" w:type="dxa"/>
            <w:tcBorders>
              <w:top w:val="single" w:sz="2" w:space="0" w:color="8C8D8F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(125% of base salary)</w:t>
            </w:r>
          </w:p>
        </w:tc>
        <w:tc>
          <w:tcPr>
            <w:tcW w:w="109" w:type="dxa"/>
            <w:tcBorders>
              <w:top w:val="single" w:sz="2" w:space="0" w:color="8C8D8F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6" w:type="dxa"/>
            <w:tcBorders>
              <w:top w:val="single" w:sz="2" w:space="0" w:color="8C8D8F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279" w:type="dxa"/>
            <w:tcBorders>
              <w:top w:val="single" w:sz="2" w:space="0" w:color="8C8D8F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$4,200,000</w:t>
            </w:r>
          </w:p>
        </w:tc>
      </w:tr>
    </w:tbl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As a result of the Company’s Adjusted EBITDA performance for fiscal 2026, Ms. Goldstein and Mr. Emerson each received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maximum cash bonuses for such period in the following amounts: Ms. Goldstein, $3,000,000; Mr. Emerson, $2,125,000. For a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discussion of the Company’s Adjusted EBITDA goals and performance, see “Compensation Discussion and Analysis—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Executive Summary—Fiscal 2026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Variable Compensation Targets and Performance Achievement.”</w:t>
      </w:r>
    </w:p>
    <w:tbl>
      <w:tblPr>
        <w:tblW w:w="4982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4651"/>
        <w:gridCol w:w="331"/>
      </w:tblGrid>
      <w:tr>
        <w:trPr/>
        <w:tc>
          <w:tcPr>
            <w:tcW w:w="46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651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sz w:val="24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TAKE-TWO INTERACTIVE SOFTWARE, INC.   |   2026</w:t>
            </w:r>
            <w:r>
              <w:rPr>
                <w:caps w:val="false"/>
                <w:smallCaps w:val="false"/>
                <w:strike w:val="false"/>
                <w:dstrike w:val="false"/>
                <w:color w:val="18333C"/>
                <w:sz w:val="24"/>
                <w:u w:val="none"/>
                <w:effect w:val="none"/>
              </w:rPr>
              <w:t xml:space="preserve"> 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 xml:space="preserve">Proxy Statement </w:t>
            </w:r>
          </w:p>
        </w:tc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41</w:t>
            </w:r>
          </w:p>
        </w:tc>
      </w:tr>
    </w:tbl>
    <w:p>
      <w:pPr>
        <w:pStyle w:val="TextBody"/>
        <w:bidi w:val="0"/>
        <w:spacing w:lineRule="atLeast" w:line="142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3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3"/>
          <w:u w:val="none"/>
          <w:effect w:val="none"/>
        </w:rPr>
        <w:t>COMPENSATION DISCUSSION AND ANALYSIS</w:t>
      </w:r>
    </w:p>
    <w:p>
      <w:pPr>
        <w:pStyle w:val="TextBody"/>
        <w:bidi w:val="0"/>
        <w:spacing w:lineRule="atLeast" w:line="142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2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2"/>
          <w:u w:val="none"/>
          <w:effect w:val="none"/>
        </w:rPr>
        <w:t>DETAILED DISCUSSION AND ANALYSIS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4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24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24"/>
          <w:u w:val="none"/>
          <w:effect w:val="none"/>
        </w:rPr>
        <w:t>V. Principal Elements of Non-ZMC Related Executive Compensation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B0295B"/>
          <w:sz w:val="20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B0295B"/>
          <w:sz w:val="20"/>
          <w:u w:val="none"/>
          <w:effect w:val="none"/>
        </w:rPr>
        <w:t>Pay Elements—Overview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Executive compensation for our NEOs consists of the following elements:</w:t>
      </w:r>
    </w:p>
    <w:tbl>
      <w:tblPr>
        <w:tblW w:w="5972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581"/>
        <w:gridCol w:w="3391"/>
      </w:tblGrid>
      <w:tr>
        <w:trPr/>
        <w:tc>
          <w:tcPr>
            <w:tcW w:w="258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81" w:type="dxa"/>
            <w:tcBorders/>
            <w:shd w:fill="64BFA6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91" w:type="dxa"/>
            <w:tcBorders/>
            <w:shd w:fill="64BFA6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81" w:type="dxa"/>
            <w:tcBorders/>
            <w:shd w:fill="64BFA6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Direct Compensation Elements</w:t>
            </w:r>
          </w:p>
        </w:tc>
        <w:tc>
          <w:tcPr>
            <w:tcW w:w="3391" w:type="dxa"/>
            <w:tcBorders/>
            <w:shd w:fill="64BFA6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Indirect Compensation Elements</w:t>
            </w:r>
          </w:p>
        </w:tc>
      </w:tr>
      <w:tr>
        <w:trPr/>
        <w:tc>
          <w:tcPr>
            <w:tcW w:w="2581" w:type="dxa"/>
            <w:tcBorders/>
            <w:shd w:fill="64BFA6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91" w:type="dxa"/>
            <w:tcBorders/>
            <w:shd w:fill="64BFA6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81" w:type="dxa"/>
            <w:tcBorders>
              <w:bottom w:val="single" w:sz="2" w:space="0" w:color="8C8D8F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Base Salary</w:t>
            </w:r>
          </w:p>
        </w:tc>
        <w:tc>
          <w:tcPr>
            <w:tcW w:w="3391" w:type="dxa"/>
            <w:tcBorders>
              <w:bottom w:val="single" w:sz="2" w:space="0" w:color="8C8D8F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Other Compensation/Employee Benefits</w:t>
            </w:r>
          </w:p>
        </w:tc>
      </w:tr>
      <w:tr>
        <w:trPr/>
        <w:tc>
          <w:tcPr>
            <w:tcW w:w="2581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Annual Cash Incentive</w:t>
            </w:r>
          </w:p>
        </w:tc>
        <w:tc>
          <w:tcPr>
            <w:tcW w:w="3391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Severance and Change in Control Protection</w:t>
            </w:r>
          </w:p>
        </w:tc>
      </w:tr>
      <w:tr>
        <w:trPr/>
        <w:tc>
          <w:tcPr>
            <w:tcW w:w="2581" w:type="dxa"/>
            <w:tcBorders>
              <w:top w:val="single" w:sz="2" w:space="0" w:color="8C8D8F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Long-Term Equity Incentives</w:t>
            </w:r>
          </w:p>
        </w:tc>
        <w:tc>
          <w:tcPr>
            <w:tcW w:w="3391" w:type="dxa"/>
            <w:tcBorders>
              <w:top w:val="single" w:sz="2" w:space="0" w:color="8C8D8F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B0295B"/>
          <w:sz w:val="20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B0295B"/>
          <w:sz w:val="20"/>
          <w:u w:val="none"/>
          <w:effect w:val="none"/>
        </w:rPr>
        <w:t>Base Salary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Base salary is intended to provide fixed pay that considers an NEO’s role and responsibilities, experience, expertise,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marketplace comparables and individual performance, and although established by the NEOs’ employment agreements, is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subject to annual review by the Compensation Committee, including for discretionary year-to-year increases.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Ms. Goldstein’s base salary was set at $1,000,000 in fiscal 2023 based on Ms. Goldstein’s strong individual performance and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value to the organization as a key senior leader and peer benchmarking. Ms. Goldstein’s base salary remained the same for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fiscal 2024, fiscal 2025 and fiscal 2026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and remains the same for fiscal 2027.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Mr. Emerson’s base salary was set at $850,000 in fiscal 2023 based on Mr. Emerson’s strong individual performance and value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to the organization as a key senior leader and peer benchmarking. Mr. Emerson’s base salary remained the same for fiscal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2024, fiscal 2025 and fiscal 2026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and remains the same for fiscal 2027.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B0295B"/>
          <w:sz w:val="20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B0295B"/>
          <w:sz w:val="20"/>
          <w:u w:val="none"/>
          <w:effect w:val="none"/>
        </w:rPr>
        <w:t>Annual Cash Incentive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The Compensation Committee has the authority to award annual performance-based cash bonuses to the NEOs pursuant to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their employment agreements with the Company. The Compensation Committee believes that an annual performance-based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bonus opportunity provides the incentives necessary to retain our NEOs and reward them for their attainment of the Company’s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business goals.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Annual bonus awards for Ms. Goldstein and Mr. Emerson are 100% performance-based and solely dependent on achievement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of budgeted Adjusted EBITDA targets for the applicable fiscal year, which are predetermined at the beginning of the applicable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fiscal year. The Compensation Committee believes that using budgeted Adjusted EBITDA as the core performance metric in the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annual bonus design represents an appropriate measure of the Company’s performance and an appropriate way to align NEOs’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short-term incentives with our shareholders’ interests. For a description of the Board’s target-setting process as well as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disclosure regarding how we fared against that target please see the above sections titled “Annual Incentive Plan Target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/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 xml:space="preserve">Setting” and “Annual Incentive Plan Achievement” on </w:t>
      </w:r>
      <w:hyperlink w:anchor="i8ac22c4471c94fd08516cda22ece4e05_17826">
        <w:r>
          <w:rPr>
            <w:rStyle w:val="InternetLink"/>
            <w:rFonts w:ascii="Arial;sans-serif" w:hAnsi="Arial;sans-serif"/>
            <w:b w:val="false"/>
            <w:i w:val="false"/>
            <w:caps w:val="false"/>
            <w:smallCaps w:val="false"/>
            <w:strike w:val="false"/>
            <w:dstrike w:val="false"/>
            <w:color w:val="000000"/>
            <w:sz w:val="18"/>
            <w:u w:val="single"/>
            <w:effect w:val="none"/>
          </w:rPr>
          <w:t>page</w:t>
        </w:r>
      </w:hyperlink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hyperlink w:anchor="i8ac22c4471c94fd08516cda22ece4e05_17826">
        <w:r>
          <w:rPr>
            <w:rStyle w:val="InternetLink"/>
            <w:rFonts w:ascii="Arial;sans-serif" w:hAnsi="Arial;sans-serif"/>
            <w:b w:val="false"/>
            <w:i w:val="false"/>
            <w:caps w:val="false"/>
            <w:smallCaps w:val="false"/>
            <w:strike w:val="false"/>
            <w:dstrike w:val="false"/>
            <w:color w:val="000000"/>
            <w:sz w:val="18"/>
            <w:u w:val="single"/>
            <w:effect w:val="none"/>
          </w:rPr>
          <w:t>31</w:t>
        </w:r>
      </w:hyperlink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.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Bonus amounts for Ms. Goldstein and Mr. Emerson in fiscal 2026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were a function of Adjusted EBITDA relative to target, as set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forth in the following table:</w:t>
      </w:r>
    </w:p>
    <w:tbl>
      <w:tblPr>
        <w:tblW w:w="6662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581"/>
        <w:gridCol w:w="4081"/>
      </w:tblGrid>
      <w:tr>
        <w:trPr/>
        <w:tc>
          <w:tcPr>
            <w:tcW w:w="258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8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81" w:type="dxa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Adjusted EBITDA Achievement</w:t>
            </w:r>
          </w:p>
        </w:tc>
        <w:tc>
          <w:tcPr>
            <w:tcW w:w="4081" w:type="dxa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Annual Bonus for Ms. Goldstein and Mr. Emerson</w:t>
            </w:r>
          </w:p>
        </w:tc>
      </w:tr>
      <w:tr>
        <w:trPr/>
        <w:tc>
          <w:tcPr>
            <w:tcW w:w="2581" w:type="dxa"/>
            <w:tcBorders>
              <w:top w:val="single" w:sz="4" w:space="0" w:color="18333C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Less than 80% of the budget</w:t>
            </w:r>
          </w:p>
        </w:tc>
        <w:tc>
          <w:tcPr>
            <w:tcW w:w="4081" w:type="dxa"/>
            <w:tcBorders>
              <w:top w:val="single" w:sz="4" w:space="0" w:color="18333C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No bonus earned</w:t>
            </w:r>
          </w:p>
        </w:tc>
      </w:tr>
      <w:tr>
        <w:trPr/>
        <w:tc>
          <w:tcPr>
            <w:tcW w:w="2581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80% - 100% of the budget</w:t>
            </w:r>
          </w:p>
        </w:tc>
        <w:tc>
          <w:tcPr>
            <w:tcW w:w="4081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36%-100% of target</w:t>
            </w:r>
          </w:p>
        </w:tc>
      </w:tr>
      <w:tr>
        <w:trPr/>
        <w:tc>
          <w:tcPr>
            <w:tcW w:w="2581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100% - 120% of the budget</w:t>
            </w:r>
          </w:p>
        </w:tc>
        <w:tc>
          <w:tcPr>
            <w:tcW w:w="4081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100%-140% of target</w:t>
            </w:r>
          </w:p>
        </w:tc>
      </w:tr>
      <w:tr>
        <w:trPr/>
        <w:tc>
          <w:tcPr>
            <w:tcW w:w="2581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120% - 150% of the budget</w:t>
            </w:r>
          </w:p>
        </w:tc>
        <w:tc>
          <w:tcPr>
            <w:tcW w:w="4081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140%-200% of target</w:t>
            </w:r>
          </w:p>
        </w:tc>
      </w:tr>
      <w:tr>
        <w:trPr/>
        <w:tc>
          <w:tcPr>
            <w:tcW w:w="2581" w:type="dxa"/>
            <w:tcBorders>
              <w:top w:val="single" w:sz="2" w:space="0" w:color="8C8D8F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Greater than 150% of the budget</w:t>
            </w:r>
          </w:p>
        </w:tc>
        <w:tc>
          <w:tcPr>
            <w:tcW w:w="4081" w:type="dxa"/>
            <w:tcBorders>
              <w:top w:val="single" w:sz="2" w:space="0" w:color="8C8D8F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Capped at 200% of target</w:t>
            </w:r>
          </w:p>
        </w:tc>
      </w:tr>
    </w:tbl>
    <w:tbl>
      <w:tblPr>
        <w:tblW w:w="493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301"/>
        <w:gridCol w:w="4636"/>
      </w:tblGrid>
      <w:tr>
        <w:trPr/>
        <w:tc>
          <w:tcPr>
            <w:tcW w:w="30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0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42</w:t>
            </w:r>
          </w:p>
        </w:tc>
        <w:tc>
          <w:tcPr>
            <w:tcW w:w="4636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sz w:val="24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TAKE-TWO INTERACTIVE SOFTWARE, INC.   |   2026</w:t>
            </w:r>
            <w:r>
              <w:rPr>
                <w:caps w:val="false"/>
                <w:smallCaps w:val="false"/>
                <w:strike w:val="false"/>
                <w:dstrike w:val="false"/>
                <w:color w:val="18333C"/>
                <w:sz w:val="24"/>
                <w:u w:val="none"/>
                <w:effect w:val="none"/>
              </w:rPr>
              <w:t xml:space="preserve"> 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Proxy Statement</w:t>
            </w:r>
          </w:p>
        </w:tc>
      </w:tr>
    </w:tbl>
    <w:p>
      <w:pPr>
        <w:pStyle w:val="TextBody"/>
        <w:bidi w:val="0"/>
        <w:spacing w:lineRule="atLeast" w:line="142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3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3"/>
          <w:u w:val="none"/>
          <w:effect w:val="none"/>
        </w:rPr>
        <w:t>COMPENSATION DISCUSSION AND ANALYSIS</w:t>
      </w:r>
    </w:p>
    <w:p>
      <w:pPr>
        <w:pStyle w:val="TextBody"/>
        <w:bidi w:val="0"/>
        <w:spacing w:lineRule="atLeast" w:line="142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2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2"/>
          <w:u w:val="none"/>
          <w:effect w:val="none"/>
        </w:rPr>
        <w:t>DETAILED DISCUSSION AND ANALYSIS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Budgeted Adjusted EBITDA for fiscal 2026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was $919.5 million, which was set above the actual Adjusted EBITDA achieved in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fiscal 2025. In fiscal 2026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the Company achieved actual Adjusted EBITDA of $1,401.6 million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(approximately 152.4%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of the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budgeted Adjusted EBITDA), which resulted in the following annual cash bonus payouts:</w:t>
      </w:r>
    </w:p>
    <w:tbl>
      <w:tblPr>
        <w:tblW w:w="902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16"/>
        <w:gridCol w:w="916"/>
        <w:gridCol w:w="109"/>
        <w:gridCol w:w="2522"/>
        <w:gridCol w:w="1738"/>
        <w:gridCol w:w="2524"/>
      </w:tblGrid>
      <w:tr>
        <w:trPr/>
        <w:tc>
          <w:tcPr>
            <w:tcW w:w="121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2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3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16" w:type="dxa"/>
            <w:tcBorders/>
            <w:shd w:fill="64BFA6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6" w:type="dxa"/>
            <w:tcBorders/>
            <w:shd w:fill="64BFA6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64BFA6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22" w:type="dxa"/>
            <w:tcBorders/>
            <w:shd w:fill="64BFA6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38" w:type="dxa"/>
            <w:tcBorders/>
            <w:shd w:fill="64BFA6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24" w:type="dxa"/>
            <w:tcBorders/>
            <w:shd w:fill="64BFA6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16" w:type="dxa"/>
            <w:tcBorders/>
            <w:shd w:fill="64BFA6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18333C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18333C"/>
                <w:u w:val="none"/>
                <w:effect w:val="none"/>
              </w:rPr>
              <w:t> </w:t>
            </w:r>
          </w:p>
        </w:tc>
        <w:tc>
          <w:tcPr>
            <w:tcW w:w="916" w:type="dxa"/>
            <w:tcBorders/>
            <w:shd w:fill="64BFA6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Annual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Salary</w:t>
            </w:r>
          </w:p>
        </w:tc>
        <w:tc>
          <w:tcPr>
            <w:tcW w:w="109" w:type="dxa"/>
            <w:tcBorders/>
            <w:shd w:fill="64BFA6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22" w:type="dxa"/>
            <w:tcBorders/>
            <w:shd w:fill="64BFA6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Threshold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Bonus</w:t>
            </w:r>
          </w:p>
        </w:tc>
        <w:tc>
          <w:tcPr>
            <w:tcW w:w="1738" w:type="dxa"/>
            <w:tcBorders/>
            <w:shd w:fill="64BFA6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Target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Bonus</w:t>
            </w:r>
          </w:p>
        </w:tc>
        <w:tc>
          <w:tcPr>
            <w:tcW w:w="2524" w:type="dxa"/>
            <w:tcBorders/>
            <w:shd w:fill="64BFA6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Maximum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Bonus</w:t>
            </w:r>
          </w:p>
        </w:tc>
      </w:tr>
      <w:tr>
        <w:trPr/>
        <w:tc>
          <w:tcPr>
            <w:tcW w:w="1216" w:type="dxa"/>
            <w:tcBorders/>
            <w:shd w:fill="64BFA6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6" w:type="dxa"/>
            <w:tcBorders/>
            <w:shd w:fill="64BFA6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shd w:fill="64BFA6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22" w:type="dxa"/>
            <w:tcBorders/>
            <w:shd w:fill="64BFA6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38" w:type="dxa"/>
            <w:tcBorders/>
            <w:shd w:fill="64BFA6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24" w:type="dxa"/>
            <w:tcBorders/>
            <w:shd w:fill="64BFA6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1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2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3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16" w:type="dxa"/>
            <w:tcBorders/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Ms. Goldstein</w:t>
            </w:r>
          </w:p>
        </w:tc>
        <w:tc>
          <w:tcPr>
            <w:tcW w:w="916" w:type="dxa"/>
            <w:tcBorders/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$1,000,000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784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</w:rPr>
            </w:pPr>
            <w:r>
              <w:rPr>
                <w:caps w:val="false"/>
                <w:smallCaps w:val="fals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4224655" cy="447040"/>
                  <wp:effectExtent l="0" t="0" r="0" b="0"/>
                  <wp:docPr id="284" name="Image284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4" name="Image284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24655" cy="4470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288" w:name="i-284"/>
            <w:bookmarkEnd w:id="288"/>
          </w:p>
        </w:tc>
      </w:tr>
      <w:tr>
        <w:trPr/>
        <w:tc>
          <w:tcPr>
            <w:tcW w:w="1216" w:type="dxa"/>
            <w:tcBorders>
              <w:bottom w:val="single" w:sz="2" w:space="0" w:color="8C8D8F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6" w:type="dxa"/>
            <w:tcBorders>
              <w:bottom w:val="single" w:sz="2" w:space="0" w:color="8C8D8F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bottom w:val="single" w:sz="2" w:space="0" w:color="8C8D8F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784" w:type="dxa"/>
            <w:gridSpan w:val="3"/>
            <w:tcBorders>
              <w:bottom w:val="single" w:sz="2" w:space="0" w:color="8C8D8F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16" w:type="dxa"/>
            <w:tcBorders>
              <w:top w:val="single" w:sz="2" w:space="0" w:color="8C8D8F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6" w:type="dxa"/>
            <w:tcBorders>
              <w:top w:val="single" w:sz="2" w:space="0" w:color="8C8D8F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top w:val="single" w:sz="2" w:space="0" w:color="8C8D8F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22" w:type="dxa"/>
            <w:tcBorders>
              <w:top w:val="single" w:sz="2" w:space="0" w:color="8C8D8F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38" w:type="dxa"/>
            <w:tcBorders>
              <w:top w:val="single" w:sz="2" w:space="0" w:color="8C8D8F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24" w:type="dxa"/>
            <w:tcBorders>
              <w:top w:val="single" w:sz="2" w:space="0" w:color="8C8D8F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16" w:type="dxa"/>
            <w:tcBorders/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Mr. Emerson</w:t>
            </w:r>
          </w:p>
        </w:tc>
        <w:tc>
          <w:tcPr>
            <w:tcW w:w="916" w:type="dxa"/>
            <w:tcBorders/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$850,000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784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4224655" cy="447040"/>
                  <wp:effectExtent l="0" t="0" r="0" b="0"/>
                  <wp:docPr id="285" name="Image285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5" name="Image285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24655" cy="4470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289" w:name="i-285"/>
            <w:bookmarkEnd w:id="289"/>
          </w:p>
        </w:tc>
      </w:tr>
      <w:tr>
        <w:trPr/>
        <w:tc>
          <w:tcPr>
            <w:tcW w:w="1216" w:type="dxa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6" w:type="dxa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784" w:type="dxa"/>
            <w:gridSpan w:val="3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B0295B"/>
          <w:sz w:val="20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B0295B"/>
          <w:sz w:val="20"/>
          <w:u w:val="none"/>
          <w:effect w:val="none"/>
        </w:rPr>
        <w:t>Long-Term Equity Incentives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Equity is an essential tool for attracting and retaining the creative and technical talent that drives our business. Our creative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teams are critical to our continued success, and equity awards help align their interests as well as those of our NEOs and other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key employees, with long-term shareholder value creation. The Compensation Committee regularly evaluates the use of equity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awards and expects to continue using such awards as a core element of the Company’s compensation program. Equity awards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are generally granted to new key employees in the a month basis following the commencement of employment and to existing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key employees on an annual basis.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All equity grants made to employees, including the NEOs, are approved by the Compensation Committee. The current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outstanding awards granted to our NEOs are governed by the Company’s 2017 Stock Incentive Plan, as amended and restated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(the “2017 Plan”), which is discussed further in “Executive Compensation—Narrative Disclosure Regarding Equity Plans and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Employment Agreements.”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The Company generally uses a mix of performance-based and time-based vesting for NEO long-term equity awards to achieve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distinct purposes. Performance-based vesting awards align executive incentives with shareholder outcomes and long-term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value creation, while time-based vesting awards emphasize the retention of skilled executives.</w:t>
      </w:r>
    </w:p>
    <w:p>
      <w:pPr>
        <w:pStyle w:val="TextBody"/>
        <w:bidi w:val="0"/>
        <w:spacing w:lineRule="atLeast" w:line="19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9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9"/>
          <w:u w:val="none"/>
          <w:effect w:val="none"/>
        </w:rPr>
        <w:t>NEO Long-Term Incentives Awarded in Fiscal 2026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The Compensation Committee approved the following RSU awards for Ms. Goldstein and Mr. Emerson, which were granted in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June 2025:</w:t>
      </w:r>
    </w:p>
    <w:tbl>
      <w:tblPr>
        <w:tblW w:w="9142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16"/>
        <w:gridCol w:w="184"/>
        <w:gridCol w:w="867"/>
        <w:gridCol w:w="109"/>
        <w:gridCol w:w="111"/>
        <w:gridCol w:w="940"/>
        <w:gridCol w:w="109"/>
        <w:gridCol w:w="1336"/>
        <w:gridCol w:w="109"/>
        <w:gridCol w:w="142"/>
        <w:gridCol w:w="1194"/>
        <w:gridCol w:w="204"/>
        <w:gridCol w:w="1131"/>
        <w:gridCol w:w="109"/>
        <w:gridCol w:w="140"/>
        <w:gridCol w:w="1241"/>
      </w:tblGrid>
      <w:tr>
        <w:trPr/>
        <w:tc>
          <w:tcPr>
            <w:tcW w:w="121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8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9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16" w:type="dxa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51" w:type="dxa"/>
            <w:gridSpan w:val="2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Time-Based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RSUs (#)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0"/>
                <w:u w:val="none"/>
                <w:effect w:val="none"/>
              </w:rPr>
              <w:t>(2)</w:t>
            </w:r>
          </w:p>
        </w:tc>
        <w:tc>
          <w:tcPr>
            <w:tcW w:w="109" w:type="dxa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51" w:type="dxa"/>
            <w:gridSpan w:val="2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Time-Based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RSUs ($)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0"/>
                <w:u w:val="none"/>
                <w:effect w:val="none"/>
              </w:rPr>
              <w:t>(1)</w:t>
            </w:r>
          </w:p>
        </w:tc>
        <w:tc>
          <w:tcPr>
            <w:tcW w:w="109" w:type="dxa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36" w:type="dxa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Performance-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Based RSUs (#)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(at target)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0"/>
                <w:u w:val="none"/>
                <w:effect w:val="none"/>
              </w:rPr>
              <w:t>(2)</w:t>
            </w:r>
          </w:p>
        </w:tc>
        <w:tc>
          <w:tcPr>
            <w:tcW w:w="109" w:type="dxa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36" w:type="dxa"/>
            <w:gridSpan w:val="2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Performance-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Based RSUs ($)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(at target)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0"/>
                <w:u w:val="none"/>
                <w:effect w:val="none"/>
              </w:rPr>
              <w:t>(1)</w:t>
            </w:r>
          </w:p>
        </w:tc>
        <w:tc>
          <w:tcPr>
            <w:tcW w:w="1335" w:type="dxa"/>
            <w:gridSpan w:val="2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Performance-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Based RSUs (#)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(at max)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0"/>
                <w:u w:val="none"/>
                <w:effect w:val="none"/>
              </w:rPr>
              <w:t>(2)</w:t>
            </w:r>
          </w:p>
        </w:tc>
        <w:tc>
          <w:tcPr>
            <w:tcW w:w="109" w:type="dxa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81" w:type="dxa"/>
            <w:gridSpan w:val="2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Performance-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Based RSUs ($)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(at max)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0"/>
                <w:u w:val="none"/>
                <w:effect w:val="none"/>
              </w:rPr>
              <w:t>(1)</w:t>
            </w:r>
          </w:p>
        </w:tc>
      </w:tr>
      <w:tr>
        <w:trPr/>
        <w:tc>
          <w:tcPr>
            <w:tcW w:w="1216" w:type="dxa"/>
            <w:tcBorders>
              <w:top w:val="single" w:sz="4" w:space="0" w:color="18333C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Ms. Goldstein</w:t>
            </w:r>
          </w:p>
        </w:tc>
        <w:tc>
          <w:tcPr>
            <w:tcW w:w="184" w:type="dxa"/>
            <w:tcBorders>
              <w:top w:val="single" w:sz="4" w:space="0" w:color="18333C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7" w:type="dxa"/>
            <w:tcBorders>
              <w:top w:val="single" w:sz="4" w:space="0" w:color="18333C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9,045</w:t>
            </w:r>
          </w:p>
        </w:tc>
        <w:tc>
          <w:tcPr>
            <w:tcW w:w="109" w:type="dxa"/>
            <w:tcBorders>
              <w:top w:val="single" w:sz="4" w:space="0" w:color="18333C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1" w:type="dxa"/>
            <w:tcBorders>
              <w:top w:val="single" w:sz="4" w:space="0" w:color="18333C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40" w:type="dxa"/>
            <w:tcBorders>
              <w:top w:val="single" w:sz="4" w:space="0" w:color="18333C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$2,040,000</w:t>
            </w:r>
          </w:p>
        </w:tc>
        <w:tc>
          <w:tcPr>
            <w:tcW w:w="109" w:type="dxa"/>
            <w:tcBorders>
              <w:top w:val="single" w:sz="4" w:space="0" w:color="18333C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36" w:type="dxa"/>
            <w:tcBorders>
              <w:top w:val="single" w:sz="4" w:space="0" w:color="18333C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18,089</w:t>
            </w:r>
          </w:p>
        </w:tc>
        <w:tc>
          <w:tcPr>
            <w:tcW w:w="109" w:type="dxa"/>
            <w:tcBorders>
              <w:top w:val="single" w:sz="4" w:space="0" w:color="18333C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2" w:type="dxa"/>
            <w:tcBorders>
              <w:top w:val="single" w:sz="4" w:space="0" w:color="18333C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94" w:type="dxa"/>
            <w:tcBorders>
              <w:top w:val="single" w:sz="4" w:space="0" w:color="18333C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$4,080,000</w:t>
            </w:r>
          </w:p>
        </w:tc>
        <w:tc>
          <w:tcPr>
            <w:tcW w:w="204" w:type="dxa"/>
            <w:tcBorders>
              <w:top w:val="single" w:sz="4" w:space="0" w:color="18333C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31" w:type="dxa"/>
            <w:tcBorders>
              <w:top w:val="single" w:sz="4" w:space="0" w:color="18333C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36,178</w:t>
            </w:r>
          </w:p>
        </w:tc>
        <w:tc>
          <w:tcPr>
            <w:tcW w:w="109" w:type="dxa"/>
            <w:tcBorders>
              <w:top w:val="single" w:sz="4" w:space="0" w:color="18333C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0" w:type="dxa"/>
            <w:tcBorders>
              <w:top w:val="single" w:sz="4" w:space="0" w:color="18333C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41" w:type="dxa"/>
            <w:tcBorders>
              <w:top w:val="single" w:sz="4" w:space="0" w:color="18333C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$8,160,000</w:t>
            </w:r>
          </w:p>
        </w:tc>
      </w:tr>
      <w:tr>
        <w:trPr/>
        <w:tc>
          <w:tcPr>
            <w:tcW w:w="1216" w:type="dxa"/>
            <w:tcBorders>
              <w:top w:val="single" w:sz="2" w:space="0" w:color="8C8D8F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Mr. Emerson</w:t>
            </w:r>
          </w:p>
        </w:tc>
        <w:tc>
          <w:tcPr>
            <w:tcW w:w="184" w:type="dxa"/>
            <w:tcBorders>
              <w:top w:val="single" w:sz="2" w:space="0" w:color="8C8D8F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7" w:type="dxa"/>
            <w:tcBorders>
              <w:top w:val="single" w:sz="2" w:space="0" w:color="8C8D8F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6,207</w:t>
            </w:r>
          </w:p>
        </w:tc>
        <w:tc>
          <w:tcPr>
            <w:tcW w:w="109" w:type="dxa"/>
            <w:tcBorders>
              <w:top w:val="single" w:sz="2" w:space="0" w:color="8C8D8F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1" w:type="dxa"/>
            <w:tcBorders>
              <w:top w:val="single" w:sz="2" w:space="0" w:color="8C8D8F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40" w:type="dxa"/>
            <w:tcBorders>
              <w:top w:val="single" w:sz="2" w:space="0" w:color="8C8D8F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$1,400,000</w:t>
            </w:r>
          </w:p>
        </w:tc>
        <w:tc>
          <w:tcPr>
            <w:tcW w:w="109" w:type="dxa"/>
            <w:tcBorders>
              <w:top w:val="single" w:sz="2" w:space="0" w:color="8C8D8F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36" w:type="dxa"/>
            <w:tcBorders>
              <w:top w:val="single" w:sz="2" w:space="0" w:color="8C8D8F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12,414</w:t>
            </w:r>
          </w:p>
        </w:tc>
        <w:tc>
          <w:tcPr>
            <w:tcW w:w="109" w:type="dxa"/>
            <w:tcBorders>
              <w:top w:val="single" w:sz="2" w:space="0" w:color="8C8D8F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2" w:type="dxa"/>
            <w:tcBorders>
              <w:top w:val="single" w:sz="2" w:space="0" w:color="8C8D8F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94" w:type="dxa"/>
            <w:tcBorders>
              <w:top w:val="single" w:sz="2" w:space="0" w:color="8C8D8F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$2,800,000</w:t>
            </w:r>
          </w:p>
        </w:tc>
        <w:tc>
          <w:tcPr>
            <w:tcW w:w="204" w:type="dxa"/>
            <w:tcBorders>
              <w:top w:val="single" w:sz="2" w:space="0" w:color="8C8D8F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31" w:type="dxa"/>
            <w:tcBorders>
              <w:top w:val="single" w:sz="2" w:space="0" w:color="8C8D8F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24,828</w:t>
            </w:r>
          </w:p>
        </w:tc>
        <w:tc>
          <w:tcPr>
            <w:tcW w:w="109" w:type="dxa"/>
            <w:tcBorders>
              <w:top w:val="single" w:sz="2" w:space="0" w:color="8C8D8F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0" w:type="dxa"/>
            <w:tcBorders>
              <w:top w:val="single" w:sz="2" w:space="0" w:color="8C8D8F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41" w:type="dxa"/>
            <w:tcBorders>
              <w:top w:val="single" w:sz="2" w:space="0" w:color="8C8D8F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$5,600,000</w:t>
            </w:r>
          </w:p>
        </w:tc>
      </w:tr>
    </w:tbl>
    <w:p>
      <w:pPr>
        <w:pStyle w:val="TextBody"/>
        <w:bidi w:val="0"/>
        <w:spacing w:lineRule="atLeast" w:line="142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(1)As the aggregate grant date fair values of the shares displayed in the Summary Compensation Table for fiscal 2026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and the Grants of Plan-Based Awards table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42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later in this Proxy Statement are computed in accordance with US GAAP, the values in those tables differ from the planning values displayed in the table above.</w:t>
      </w:r>
    </w:p>
    <w:p>
      <w:pPr>
        <w:pStyle w:val="TextBody"/>
        <w:bidi w:val="0"/>
        <w:spacing w:lineRule="atLeast" w:line="142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(2)The number of RSUs included in each of the above grants was determined by dividing the grant value (which was based in part on peer benchmarking) by the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42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average of the closing prices of the Company’s common stock on the 30 trading days immediately prior to June 1, 2025.</w:t>
      </w:r>
    </w:p>
    <w:tbl>
      <w:tblPr>
        <w:tblW w:w="4982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4651"/>
        <w:gridCol w:w="331"/>
      </w:tblGrid>
      <w:tr>
        <w:trPr/>
        <w:tc>
          <w:tcPr>
            <w:tcW w:w="46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651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sz w:val="24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TAKE-TWO INTERACTIVE SOFTWARE, INC.   |   2026</w:t>
            </w:r>
            <w:r>
              <w:rPr>
                <w:caps w:val="false"/>
                <w:smallCaps w:val="false"/>
                <w:strike w:val="false"/>
                <w:dstrike w:val="false"/>
                <w:color w:val="18333C"/>
                <w:sz w:val="24"/>
                <w:u w:val="none"/>
                <w:effect w:val="none"/>
              </w:rPr>
              <w:t xml:space="preserve"> 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 xml:space="preserve">Proxy Statement </w:t>
            </w:r>
          </w:p>
        </w:tc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43</w:t>
            </w:r>
          </w:p>
        </w:tc>
      </w:tr>
    </w:tbl>
    <w:p>
      <w:pPr>
        <w:pStyle w:val="TextBody"/>
        <w:bidi w:val="0"/>
        <w:spacing w:lineRule="atLeast" w:line="142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3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3"/>
          <w:u w:val="none"/>
          <w:effect w:val="none"/>
        </w:rPr>
        <w:t>COMPENSATION DISCUSSION AND ANALYSIS</w:t>
      </w:r>
    </w:p>
    <w:p>
      <w:pPr>
        <w:pStyle w:val="TextBody"/>
        <w:bidi w:val="0"/>
        <w:spacing w:lineRule="atLeast" w:line="142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2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2"/>
          <w:u w:val="none"/>
          <w:effect w:val="none"/>
        </w:rPr>
        <w:t>DETAILED DISCUSSION AND ANALYSIS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The Compensation Committee made the fiscal 2026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grants in the form of RSUs, rather than restricted stock, in order to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preserve flexibility to settle the awards in stock, cash or a combination of stock and cash. A portion of these RSUs, equal to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33.3% of the value at target, are time-based RSUs and cliff vest 25% on the first anniversary of the grant date, and then vest in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12 quarterly installments thereafter. The remaining portion of these RSUs, equal to 66.7% of the value at target, are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performance-based RSUs that cliff vest 100% on June 1, 2028, subject to satisfaction of TSR and RCS performance criteria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during the vesting period, equivalent to the TSR and RCS performance based criteria in ZMC’s performance-based awards. For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 more detailed description of the TSR and RCS performance criteria, see “Compensation Discussion and Analysis—Detailed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Discussion and Analysis—Fiscal 2026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Fees and Incentives to ZMC” of this Proxy Statement.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For fiscal 2026, the Compensation Committee decided to continue to include RCS based performance vesting in awards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granted to our non-ZMC NEOs in the same proportion as awards granted to ZMC. The Committee believes that emphasizing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RCS growth supports the Company’s objective of delivering sustained year-over-year growth and that the metric represents an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important indicator of the performance of our mobile business and several of our key console-based franchises (including NBA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2K and Grand Theft Auto Online), all of which are strategic priorities for the Company.</w:t>
      </w:r>
    </w:p>
    <w:p>
      <w:pPr>
        <w:pStyle w:val="TextBody"/>
        <w:bidi w:val="0"/>
        <w:spacing w:lineRule="atLeast" w:line="19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9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9"/>
          <w:u w:val="none"/>
          <w:effect w:val="none"/>
        </w:rPr>
        <w:t>NEO Long-Term Incentive Awards Vested in Fiscal 2026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The results and payout levels for the performance-based RSUs granted to Ms. Goldstein and Mr. Emerson prior to fiscal 2026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that vested, or failed to vest, in fiscal 2026, are as follows:</w:t>
      </w:r>
    </w:p>
    <w:tbl>
      <w:tblPr>
        <w:tblW w:w="6903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16"/>
        <w:gridCol w:w="2731"/>
        <w:gridCol w:w="2956"/>
      </w:tblGrid>
      <w:tr>
        <w:trPr/>
        <w:tc>
          <w:tcPr>
            <w:tcW w:w="121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95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16" w:type="dxa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31" w:type="dxa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Performance-Based RSUs Vested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(#)</w:t>
            </w:r>
          </w:p>
        </w:tc>
        <w:tc>
          <w:tcPr>
            <w:tcW w:w="2956" w:type="dxa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Performance-Based RSUs Forfeited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(#)</w:t>
            </w:r>
          </w:p>
        </w:tc>
      </w:tr>
      <w:tr>
        <w:trPr/>
        <w:tc>
          <w:tcPr>
            <w:tcW w:w="1216" w:type="dxa"/>
            <w:tcBorders>
              <w:top w:val="single" w:sz="4" w:space="0" w:color="18333C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Ms. Goldstein</w:t>
            </w:r>
          </w:p>
        </w:tc>
        <w:tc>
          <w:tcPr>
            <w:tcW w:w="2731" w:type="dxa"/>
            <w:tcBorders>
              <w:top w:val="single" w:sz="4" w:space="0" w:color="18333C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sz w:val="24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7"/>
                <w:u w:val="none"/>
                <w:effect w:val="none"/>
              </w:rPr>
              <w:t>66,700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1"/>
                <w:u w:val="none"/>
                <w:effect w:val="none"/>
              </w:rPr>
              <w:t>(1)</w:t>
            </w:r>
          </w:p>
        </w:tc>
        <w:tc>
          <w:tcPr>
            <w:tcW w:w="2956" w:type="dxa"/>
            <w:tcBorders>
              <w:top w:val="single" w:sz="4" w:space="0" w:color="18333C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>—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1"/>
                <w:u w:val="none"/>
                <w:effect w:val="none"/>
              </w:rPr>
              <w:t>(3)</w:t>
            </w:r>
          </w:p>
        </w:tc>
      </w:tr>
      <w:tr>
        <w:trPr/>
        <w:tc>
          <w:tcPr>
            <w:tcW w:w="1216" w:type="dxa"/>
            <w:tcBorders>
              <w:top w:val="single" w:sz="2" w:space="0" w:color="8C8D8F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Mr. Emerson</w:t>
            </w:r>
          </w:p>
        </w:tc>
        <w:tc>
          <w:tcPr>
            <w:tcW w:w="2731" w:type="dxa"/>
            <w:tcBorders>
              <w:top w:val="single" w:sz="2" w:space="0" w:color="8C8D8F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sz w:val="24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7"/>
                <w:u w:val="none"/>
                <w:effect w:val="none"/>
              </w:rPr>
              <w:t>45,774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1"/>
                <w:u w:val="none"/>
                <w:effect w:val="none"/>
              </w:rPr>
              <w:t>(2)</w:t>
            </w:r>
          </w:p>
        </w:tc>
        <w:tc>
          <w:tcPr>
            <w:tcW w:w="2956" w:type="dxa"/>
            <w:tcBorders>
              <w:top w:val="single" w:sz="2" w:space="0" w:color="8C8D8F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/>
            </w:pP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>—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1"/>
                <w:u w:val="none"/>
                <w:effect w:val="none"/>
              </w:rPr>
              <w:t>(3)</w:t>
            </w:r>
          </w:p>
        </w:tc>
      </w:tr>
    </w:tbl>
    <w:p>
      <w:pPr>
        <w:pStyle w:val="TextBody"/>
        <w:bidi w:val="0"/>
        <w:spacing w:lineRule="atLeast" w:line="142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(1)Represents 66,700 performance-based RSUs originally granted on June 1, 2022, which vested on May 30, 2025 as a result of maximum performance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42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criteria achievement.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42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(2)Represents 45,774 performance-based RSUs originally granted on June 1, 2022, which vested on May 30, 2025 as a result of maximum performance criteria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42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achievement.</w:t>
      </w:r>
    </w:p>
    <w:p>
      <w:pPr>
        <w:pStyle w:val="TextBody"/>
        <w:bidi w:val="0"/>
        <w:spacing w:lineRule="atLeast" w:line="142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(3)The performance-based RSUs that vested in fiscal 2026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included only relative TSR performance-based vesting, and the Company’s relative TSR achievement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42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for the awards that vested in fiscal 2026 was the 78th percentile, which resulted in the maximum vesting percentage for the performance-based RSUs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42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(i.e. 200% of target), and no shares being forfeited.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Additionally, the compensation received by the NEOs is closely aligned with the Company’s TSR performance. As described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earlier in the CD&amp;A, the Company has delivered strong relative TSR performance across multiple measurement periods,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including top-quartile performance in certain periods, which is reflected in the vesting of TSR-based equity awards.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For a description of the results and payout levels for performance-based RSUs previously granted to ZMC that vested, or failed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to vest, in fiscal 2026, see “Certain Relationships and Related Transactions—Management Agreement.”</w:t>
      </w:r>
    </w:p>
    <w:p>
      <w:pPr>
        <w:pStyle w:val="TextBody"/>
        <w:bidi w:val="0"/>
        <w:spacing w:lineRule="atLeast" w:line="19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9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9"/>
          <w:u w:val="none"/>
          <w:effect w:val="none"/>
        </w:rPr>
        <w:t>NEO Long-Term Incentives Awarded in Fiscal 2027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In May 2026, the Compensation Committee approved the following fiscal 2027 RSU awards for Ms. Goldstein and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Mr. Emerson:</w:t>
      </w:r>
    </w:p>
    <w:tbl>
      <w:tblPr>
        <w:tblW w:w="9252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16"/>
        <w:gridCol w:w="1051"/>
        <w:gridCol w:w="109"/>
        <w:gridCol w:w="111"/>
        <w:gridCol w:w="940"/>
        <w:gridCol w:w="109"/>
        <w:gridCol w:w="1336"/>
        <w:gridCol w:w="109"/>
        <w:gridCol w:w="142"/>
        <w:gridCol w:w="1194"/>
        <w:gridCol w:w="109"/>
        <w:gridCol w:w="1336"/>
        <w:gridCol w:w="109"/>
        <w:gridCol w:w="129"/>
        <w:gridCol w:w="1252"/>
      </w:tblGrid>
      <w:tr>
        <w:trPr/>
        <w:tc>
          <w:tcPr>
            <w:tcW w:w="121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9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5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16" w:type="dxa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51" w:type="dxa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Time-Based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RSUs (#)</w:t>
            </w:r>
          </w:p>
        </w:tc>
        <w:tc>
          <w:tcPr>
            <w:tcW w:w="109" w:type="dxa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51" w:type="dxa"/>
            <w:gridSpan w:val="2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Time-Based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RSUs ($)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0"/>
                <w:u w:val="none"/>
                <w:effect w:val="none"/>
              </w:rPr>
              <w:t>(1)</w:t>
            </w:r>
          </w:p>
        </w:tc>
        <w:tc>
          <w:tcPr>
            <w:tcW w:w="109" w:type="dxa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36" w:type="dxa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Performance-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Based RSUs (#)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(at target)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0"/>
                <w:u w:val="none"/>
                <w:effect w:val="none"/>
              </w:rPr>
              <w:t>(2)</w:t>
            </w:r>
          </w:p>
        </w:tc>
        <w:tc>
          <w:tcPr>
            <w:tcW w:w="109" w:type="dxa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36" w:type="dxa"/>
            <w:gridSpan w:val="2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Performance-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Based RSUs ($)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(at target)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0"/>
                <w:u w:val="none"/>
                <w:effect w:val="none"/>
              </w:rPr>
              <w:t>(1)</w:t>
            </w:r>
          </w:p>
        </w:tc>
        <w:tc>
          <w:tcPr>
            <w:tcW w:w="109" w:type="dxa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36" w:type="dxa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Performance-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Based RSUs (#)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(at max)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0"/>
                <w:u w:val="none"/>
                <w:effect w:val="none"/>
              </w:rPr>
              <w:t>(2)</w:t>
            </w:r>
          </w:p>
        </w:tc>
        <w:tc>
          <w:tcPr>
            <w:tcW w:w="109" w:type="dxa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81" w:type="dxa"/>
            <w:gridSpan w:val="2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Performance-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Based RSUs ($)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(at max)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0"/>
                <w:u w:val="none"/>
                <w:effect w:val="none"/>
              </w:rPr>
              <w:t>(1)</w:t>
            </w:r>
          </w:p>
        </w:tc>
      </w:tr>
      <w:tr>
        <w:trPr/>
        <w:tc>
          <w:tcPr>
            <w:tcW w:w="1216" w:type="dxa"/>
            <w:tcBorders>
              <w:top w:val="single" w:sz="4" w:space="0" w:color="18333C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Ms. Goldstein</w:t>
            </w:r>
          </w:p>
        </w:tc>
        <w:tc>
          <w:tcPr>
            <w:tcW w:w="1051" w:type="dxa"/>
            <w:tcBorders>
              <w:top w:val="single" w:sz="4" w:space="0" w:color="18333C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11,427</w:t>
            </w:r>
          </w:p>
        </w:tc>
        <w:tc>
          <w:tcPr>
            <w:tcW w:w="109" w:type="dxa"/>
            <w:tcBorders>
              <w:top w:val="single" w:sz="4" w:space="0" w:color="18333C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1" w:type="dxa"/>
            <w:tcBorders>
              <w:top w:val="single" w:sz="4" w:space="0" w:color="18333C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40" w:type="dxa"/>
            <w:tcBorders>
              <w:top w:val="single" w:sz="4" w:space="0" w:color="18333C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$2,550,000</w:t>
            </w:r>
          </w:p>
        </w:tc>
        <w:tc>
          <w:tcPr>
            <w:tcW w:w="109" w:type="dxa"/>
            <w:tcBorders>
              <w:top w:val="single" w:sz="4" w:space="0" w:color="18333C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36" w:type="dxa"/>
            <w:tcBorders>
              <w:top w:val="single" w:sz="4" w:space="0" w:color="18333C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22,854</w:t>
            </w:r>
          </w:p>
        </w:tc>
        <w:tc>
          <w:tcPr>
            <w:tcW w:w="109" w:type="dxa"/>
            <w:tcBorders>
              <w:top w:val="single" w:sz="4" w:space="0" w:color="18333C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2" w:type="dxa"/>
            <w:tcBorders>
              <w:top w:val="single" w:sz="4" w:space="0" w:color="18333C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94" w:type="dxa"/>
            <w:tcBorders>
              <w:top w:val="single" w:sz="4" w:space="0" w:color="18333C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$5,100,000</w:t>
            </w:r>
          </w:p>
        </w:tc>
        <w:tc>
          <w:tcPr>
            <w:tcW w:w="109" w:type="dxa"/>
            <w:tcBorders>
              <w:top w:val="single" w:sz="4" w:space="0" w:color="18333C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36" w:type="dxa"/>
            <w:tcBorders>
              <w:top w:val="single" w:sz="4" w:space="0" w:color="18333C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45,708</w:t>
            </w:r>
          </w:p>
        </w:tc>
        <w:tc>
          <w:tcPr>
            <w:tcW w:w="109" w:type="dxa"/>
            <w:tcBorders>
              <w:top w:val="single" w:sz="4" w:space="0" w:color="18333C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9" w:type="dxa"/>
            <w:tcBorders>
              <w:top w:val="single" w:sz="4" w:space="0" w:color="18333C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52" w:type="dxa"/>
            <w:tcBorders>
              <w:top w:val="single" w:sz="4" w:space="0" w:color="18333C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$10,200,000</w:t>
            </w:r>
          </w:p>
        </w:tc>
      </w:tr>
      <w:tr>
        <w:trPr/>
        <w:tc>
          <w:tcPr>
            <w:tcW w:w="1216" w:type="dxa"/>
            <w:tcBorders>
              <w:top w:val="single" w:sz="2" w:space="0" w:color="8C8D8F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Mr. Emerson</w:t>
            </w:r>
          </w:p>
        </w:tc>
        <w:tc>
          <w:tcPr>
            <w:tcW w:w="1051" w:type="dxa"/>
            <w:tcBorders>
              <w:top w:val="single" w:sz="2" w:space="0" w:color="8C8D8F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7,618</w:t>
            </w:r>
          </w:p>
        </w:tc>
        <w:tc>
          <w:tcPr>
            <w:tcW w:w="109" w:type="dxa"/>
            <w:tcBorders>
              <w:top w:val="single" w:sz="2" w:space="0" w:color="8C8D8F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1" w:type="dxa"/>
            <w:tcBorders>
              <w:top w:val="single" w:sz="2" w:space="0" w:color="8C8D8F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40" w:type="dxa"/>
            <w:tcBorders>
              <w:top w:val="single" w:sz="2" w:space="0" w:color="8C8D8F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$1,700,000</w:t>
            </w:r>
          </w:p>
        </w:tc>
        <w:tc>
          <w:tcPr>
            <w:tcW w:w="109" w:type="dxa"/>
            <w:tcBorders>
              <w:top w:val="single" w:sz="2" w:space="0" w:color="8C8D8F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36" w:type="dxa"/>
            <w:tcBorders>
              <w:top w:val="single" w:sz="2" w:space="0" w:color="8C8D8F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15,236</w:t>
            </w:r>
          </w:p>
        </w:tc>
        <w:tc>
          <w:tcPr>
            <w:tcW w:w="109" w:type="dxa"/>
            <w:tcBorders>
              <w:top w:val="single" w:sz="2" w:space="0" w:color="8C8D8F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2" w:type="dxa"/>
            <w:tcBorders>
              <w:top w:val="single" w:sz="2" w:space="0" w:color="8C8D8F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94" w:type="dxa"/>
            <w:tcBorders>
              <w:top w:val="single" w:sz="2" w:space="0" w:color="8C8D8F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$3,400,000</w:t>
            </w:r>
          </w:p>
        </w:tc>
        <w:tc>
          <w:tcPr>
            <w:tcW w:w="109" w:type="dxa"/>
            <w:tcBorders>
              <w:top w:val="single" w:sz="2" w:space="0" w:color="8C8D8F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36" w:type="dxa"/>
            <w:tcBorders>
              <w:top w:val="single" w:sz="2" w:space="0" w:color="8C8D8F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30,472</w:t>
            </w:r>
          </w:p>
        </w:tc>
        <w:tc>
          <w:tcPr>
            <w:tcW w:w="109" w:type="dxa"/>
            <w:tcBorders>
              <w:top w:val="single" w:sz="2" w:space="0" w:color="8C8D8F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9" w:type="dxa"/>
            <w:tcBorders>
              <w:top w:val="single" w:sz="2" w:space="0" w:color="8C8D8F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52" w:type="dxa"/>
            <w:tcBorders>
              <w:top w:val="single" w:sz="2" w:space="0" w:color="8C8D8F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$6,800,000</w:t>
            </w:r>
          </w:p>
        </w:tc>
      </w:tr>
    </w:tbl>
    <w:p>
      <w:pPr>
        <w:pStyle w:val="TextBody"/>
        <w:bidi w:val="0"/>
        <w:spacing w:lineRule="atLeast" w:line="142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(1)As the aggregate grant date fair values of these awards that will be displayed in the Summary Compensation Table and the Grants of Plan-Based Awards table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42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in our Proxy Statement for the 2027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Annual Meeting of Shareholders will be computed in accordance with US GAAP, the values in those tables may differ from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42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the values displayed in the table above.</w:t>
      </w:r>
    </w:p>
    <w:p>
      <w:pPr>
        <w:pStyle w:val="TextBody"/>
        <w:bidi w:val="0"/>
        <w:spacing w:lineRule="atLeast" w:line="142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(2)For these grants made in fiscal 2027, the Compensation Committee decided to continue to link 75% to relative TSR performance and 25% to RCS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42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performance, which aligns with the performance vesting criteria in the RSU grants made to ZMC. The number of RSUs included in each of the above grants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42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was determined by dividing the grant value (which was based in part on peer benchmarking) by the average of the closing prices of the Company’s common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42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stock on the 30 trading days immediately prior to June 1, 2026.</w:t>
      </w:r>
    </w:p>
    <w:tbl>
      <w:tblPr>
        <w:tblW w:w="493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301"/>
        <w:gridCol w:w="4636"/>
      </w:tblGrid>
      <w:tr>
        <w:trPr/>
        <w:tc>
          <w:tcPr>
            <w:tcW w:w="30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0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44</w:t>
            </w:r>
          </w:p>
        </w:tc>
        <w:tc>
          <w:tcPr>
            <w:tcW w:w="4636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sz w:val="24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TAKE-TWO INTERACTIVE SOFTWARE, INC.   |   2026</w:t>
            </w:r>
            <w:r>
              <w:rPr>
                <w:caps w:val="false"/>
                <w:smallCaps w:val="false"/>
                <w:strike w:val="false"/>
                <w:dstrike w:val="false"/>
                <w:color w:val="18333C"/>
                <w:sz w:val="24"/>
                <w:u w:val="none"/>
                <w:effect w:val="none"/>
              </w:rPr>
              <w:t xml:space="preserve"> 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Proxy Statement</w:t>
            </w:r>
          </w:p>
        </w:tc>
      </w:tr>
    </w:tbl>
    <w:p>
      <w:pPr>
        <w:pStyle w:val="TextBody"/>
        <w:bidi w:val="0"/>
        <w:spacing w:lineRule="atLeast" w:line="142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3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3"/>
          <w:u w:val="none"/>
          <w:effect w:val="none"/>
        </w:rPr>
        <w:t>COMPENSATION DISCUSSION AND ANALYSIS</w:t>
      </w:r>
    </w:p>
    <w:p>
      <w:pPr>
        <w:pStyle w:val="TextBody"/>
        <w:bidi w:val="0"/>
        <w:spacing w:lineRule="atLeast" w:line="142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2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2"/>
          <w:u w:val="none"/>
          <w:effect w:val="none"/>
        </w:rPr>
        <w:t>DETAILED DISCUSSION AND ANALYSIS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After reviewing the annual assessment of Ms. Goldstein and Mr. Emerson’s compensation relative to their respective peer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groups by our independent compensation consultant, the Committee approved an increase to the annual fiscal 2027 equity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grant for each of Ms. Goldstein and Mr. Emerson from what they were granted in fiscal 2026 to ensure that their compensation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remained competitive with market.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SEC regulations generally require that the grant date fair value of equity awards be disclosed in the Summary Compensation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Table for the year in which the equity awards were granted, not the year to which the services relate. As a result, the grant date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/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value for equity grants made in June 2025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 xml:space="preserve">are shown in the Summary Compensation Table on </w:t>
      </w:r>
      <w:hyperlink w:anchor="ic50bf8ccfcc14893803e1dc7ad60a48b_3826">
        <w:r>
          <w:rPr>
            <w:rStyle w:val="InternetLink"/>
            <w:rFonts w:ascii="Arial;sans-serif" w:hAnsi="Arial;sans-serif"/>
            <w:b w:val="false"/>
            <w:i w:val="false"/>
            <w:caps w:val="false"/>
            <w:smallCaps w:val="false"/>
            <w:strike w:val="false"/>
            <w:dstrike w:val="false"/>
            <w:color w:val="000000"/>
            <w:sz w:val="18"/>
            <w:u w:val="single"/>
            <w:effect w:val="none"/>
          </w:rPr>
          <w:t>page</w:t>
        </w:r>
      </w:hyperlink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hyperlink w:anchor="ic50bf8ccfcc14893803e1dc7ad60a48b_3826">
        <w:r>
          <w:rPr>
            <w:rStyle w:val="InternetLink"/>
            <w:rFonts w:ascii="Arial;sans-serif" w:hAnsi="Arial;sans-serif"/>
            <w:b w:val="false"/>
            <w:i w:val="false"/>
            <w:caps w:val="false"/>
            <w:smallCaps w:val="false"/>
            <w:strike w:val="false"/>
            <w:dstrike w:val="false"/>
            <w:color w:val="000000"/>
            <w:sz w:val="18"/>
            <w:u w:val="single"/>
            <w:effect w:val="none"/>
          </w:rPr>
          <w:t>49</w:t>
        </w:r>
      </w:hyperlink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, and the grant date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value for the equity grants made in June 2026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will be reflected in the Summary Compensation Table in our Proxy Statement for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the 2027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Annual Meeting of Shareholders.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B0295B"/>
          <w:sz w:val="20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B0295B"/>
          <w:sz w:val="20"/>
          <w:u w:val="none"/>
          <w:effect w:val="none"/>
        </w:rPr>
        <w:t>Other Compensation</w:t>
      </w:r>
    </w:p>
    <w:p>
      <w:pPr>
        <w:pStyle w:val="TextBody"/>
        <w:bidi w:val="0"/>
        <w:spacing w:lineRule="atLeast" w:line="19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9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9"/>
          <w:u w:val="none"/>
          <w:effect w:val="none"/>
        </w:rPr>
        <w:t>401(k) Plan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We maintain a 401(k) savings plan and trust for our eligible employees, including our NEOs (other than Messrs. Zelnick and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Slatoff). The plan permits each participant to make voluntary pre-tax contributions, post-tax “Roth” contributions or a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combination of the two. In addition, we make matching contributions equal to 50% of the participant’s eligible elective deferral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(excluding catch-up contributions) contributed to the 401(k) savings plan, but not more than an amount equal to 50% of the first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8% of the participant’s pre-tax and/or Roth contributions will be matched. See the “All Other Compensation” column in the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Summary Compensation Table for further information regarding these benefits.</w:t>
      </w:r>
    </w:p>
    <w:p>
      <w:pPr>
        <w:pStyle w:val="TextBody"/>
        <w:bidi w:val="0"/>
        <w:spacing w:lineRule="atLeast" w:line="19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9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9"/>
          <w:u w:val="none"/>
          <w:effect w:val="none"/>
        </w:rPr>
        <w:t>Nonqualified Deferred Compensation Plan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Effective September 1, 2025, we maintain the Take-Two Interactive Software, Inc. Deferred Compensation Plan (the "DCP"), a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nonqualified deferred compensation plan. The DCP is available to eligible U.S.-based employees of the Company and its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participating subsidiaries, including our NEOs (other than Messrs. Zelnick and Slatoff), as well as non-employee members of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the Board of Directors selected by the Company. Under the DCP, eligible employee participants may elect to defer up to 50% of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base salary and up to 90% of annual cash bonus awards under the applicable annual incentive plan. Eligible non-employee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directors may elect to defer up to 100% of their board cash retainer and meeting fees paid in cash. The Company does not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make matching contributions under the DCP but may, in its sole discretion, make other employer contributions on behalf of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selected participants.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Participant deferrals are 100% vested at all times. Any discretionary employer contributions vest in accordance with a schedule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determined by the Company at the time of contribution, subject to automatic full vesting upon death, disability or a change in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control. The investment options available under the DCP are similar to those available under the Company's 401(k) plan and do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not provide above-market or preferential rates of return. Participants may change their investment elections on any business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day on which the New York Stock Exchange is open. We have established a revocable grantor trust to fund benefits under the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DCP; however, trust assets remain subject to the claims of the Company's general creditors in the event of insolvency.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Participants make elections under the DCP with regard to distributions, including a lump sum or annual installments over two to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five years upon a specified date, or a lump sum or annual installments over two to ten years upon separation from service (with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payment commencing six months following separation from service). Distributions upon death, disability or a change in control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of the Company are paid automatically as a lump sum. Distributions triggered by separation from service are subject to a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six-month delay.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See “Nonqualified Deferred Compensation for Fiscal 2026” for more details.</w:t>
      </w:r>
    </w:p>
    <w:p>
      <w:pPr>
        <w:pStyle w:val="TextBody"/>
        <w:bidi w:val="0"/>
        <w:spacing w:lineRule="atLeast" w:line="19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9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9"/>
          <w:u w:val="none"/>
          <w:effect w:val="none"/>
        </w:rPr>
        <w:t>Other Benefits and Perquisites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We provide health, dental, life and accidental death and dismemberment and short-term and long-term disability insurance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benefits for our NEOs, including Messrs. Zelnick and Slatoff, on the same basis as these benefits are generally provided to our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employees. The Company also pays a club membership fee on behalf of Mr. Zelnick, which is used primarily for general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corporate and corporate development purposes, for a parking spot at our New York corporate office, and for personal security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services for Mr. Zelnick. We believe the personal security services are reasonable and necessary business expenses that arise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from the nature of his employment responsibilities and inure to the benefit of the Company. Other than these items, we do not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provide material perquisites to our NEOs.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tbl>
      <w:tblPr>
        <w:tblW w:w="4982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4651"/>
        <w:gridCol w:w="331"/>
      </w:tblGrid>
      <w:tr>
        <w:trPr/>
        <w:tc>
          <w:tcPr>
            <w:tcW w:w="46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651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sz w:val="24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TAKE-TWO INTERACTIVE SOFTWARE, INC.   |   2026</w:t>
            </w:r>
            <w:r>
              <w:rPr>
                <w:caps w:val="false"/>
                <w:smallCaps w:val="false"/>
                <w:strike w:val="false"/>
                <w:dstrike w:val="false"/>
                <w:color w:val="18333C"/>
                <w:sz w:val="24"/>
                <w:u w:val="none"/>
                <w:effect w:val="none"/>
              </w:rPr>
              <w:t xml:space="preserve"> 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 xml:space="preserve">Proxy Statement </w:t>
            </w:r>
          </w:p>
        </w:tc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45</w:t>
            </w:r>
          </w:p>
        </w:tc>
      </w:tr>
    </w:tbl>
    <w:p>
      <w:pPr>
        <w:pStyle w:val="TextBody"/>
        <w:bidi w:val="0"/>
        <w:spacing w:lineRule="atLeast" w:line="142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3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3"/>
          <w:u w:val="none"/>
          <w:effect w:val="none"/>
        </w:rPr>
        <w:t>COMPENSATION DISCUSSION AND ANALYSIS</w:t>
      </w:r>
    </w:p>
    <w:p>
      <w:pPr>
        <w:pStyle w:val="TextBody"/>
        <w:bidi w:val="0"/>
        <w:spacing w:lineRule="atLeast" w:line="142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2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2"/>
          <w:u w:val="none"/>
          <w:effect w:val="none"/>
        </w:rPr>
        <w:t>DETAILED DISCUSSION AND ANALYSIS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A spouse or other guest may accompany a NEO on Company-paid private aircraft travel when the aircraft is already scheduled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for business purposes and can accommodate additional passengers. Because there is no aggregate incremental cost to the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Company in such circumstances, no amounts are reflected in the compensation tables in this Proxy Statement.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The Company does not maintain a formal perquisite policy, although the Compensation Committee periodically reviews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executive officer perquisites as part of its oversight of executive compensation.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B0295B"/>
          <w:sz w:val="20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B0295B"/>
          <w:sz w:val="20"/>
          <w:u w:val="none"/>
          <w:effect w:val="none"/>
        </w:rPr>
        <w:t>Severance and Change in Control Benefits</w:t>
      </w:r>
    </w:p>
    <w:p>
      <w:pPr>
        <w:pStyle w:val="TextBody"/>
        <w:bidi w:val="0"/>
        <w:spacing w:lineRule="atLeast" w:line="19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9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9"/>
          <w:u w:val="none"/>
          <w:effect w:val="none"/>
        </w:rPr>
        <w:t>Severance and Change in Control Benefits for ZMC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Pursuant to the Management Agreement, ZMC would receive the following cash payments and benefits upon a termination by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the Company without “cause” or by ZMC for “good reason” (whether before or after a change in control) (as such terms are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defined in the Management Agreement): (i) the earned but unpaid portion of the management fee, (ii) any accrued but unpaid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annual bonus for a completed fiscal year, and (iii) three times the sum of the per annum management fee plus the target bonus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amount. In addition, the Management Agreement provides for certain accelerated vesting of outstanding and unvested equity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awards upon such a termination.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See “Certain Relationships and Related Transactions—Management Agreement” for more details.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The cash payments described above remain consistent whether the termination occurs before or after a change in control, so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ZMC is not entitled to receive any enhanced cash payments in connection with a change in control. With respect to vesting of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equity awards in connection with a change in control, the Management Agreement provides for “double-trigger” vesting (that is,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they require both a change in control of the Company plus a qualifying termination before payments and benefits are paid).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Accordingly, if a change in control occurs during the term of the Management Agreement, outstanding and unvested equity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awards will continue to vest (and performance-based RSUs will continue to vest at target levels) in accordance with the original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vesting schedule, subject to earlier vesting upon a termination of the Management Agreement without cause or for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good reason.</w:t>
      </w:r>
    </w:p>
    <w:p>
      <w:pPr>
        <w:pStyle w:val="TextBody"/>
        <w:bidi w:val="0"/>
        <w:spacing w:lineRule="atLeast" w:line="19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9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9"/>
          <w:u w:val="none"/>
          <w:effect w:val="none"/>
        </w:rPr>
        <w:t>Severance and Change in Control Benefits for Other NEOs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In March 2008, the Compensation Committee approved the Take-Two Interactive Software, Inc. Change in Control Employee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Severance Plan (the “CIC Severance Plan”), a change in control plan pursuant to which certain eligible employees, including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the NEOs other than Messrs. Zelnick and Slatoff, may receive certain “double-trigger” cash severance benefits upon a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termination of employment either by the Company without “cause” or voluntarily for “good reason” (as such terms are defined in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the CIC Severance Plan), in either case during the 12-month period following a change in control of the Company, as well as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vesting of outstanding and unvested equity awards in connection with a change in control of the Company, as described under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caps w:val="false"/>
          <w:smallCaps w:val="false"/>
          <w:strike w:val="false"/>
          <w:dstrike w:val="false"/>
          <w:u w:val="none"/>
          <w:effect w:val="none"/>
        </w:rPr>
        <w:t>“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Executive Compensation—Potential Payments Upon Termination or Change in Control” below. The employment agreements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with Ms. Goldstein and Mr. Emerson provide for severance payments in the event of a separation from service from the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Company under certain conditions, as well as a retention bonus payment to Ms. Goldstein that is payable only if Ms. Goldstein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stays employed in connection with a change in control of the Company. Ms. Goldstein and Mr. Emerson only receive benefits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under the CIC Severance Plan to the extent such benefits would be greater than the benefits under their employment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agreements. See “Executive Compensation—Narrative Disclosure Regarding Equity Plans and Employment Agreements” and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caps w:val="false"/>
          <w:smallCaps w:val="false"/>
          <w:strike w:val="false"/>
          <w:dstrike w:val="false"/>
          <w:u w:val="none"/>
          <w:effect w:val="none"/>
        </w:rPr>
        <w:t>“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Executive Compensation—Potential Payments Upon Termination or Change in Control” below for more information. We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believe that these severance benefits assist us in recruiting talented individuals to join and remain a part of our management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team. From time to time, we may recruit executives from other companies where they have job security, tenure and career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opportunities. Accepting a position with us may entail foregoing an otherwise secure position at another employer, and the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benefits provided by the CIC Severance Plan help to mitigate the risk of harm that the executive may suffer in connection with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adverse actions taken by a successor to the Company. Severance benefits also allow our NEOs to focus on the Company’s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business without being unduly distracted by concerns about their job security in the event of a separation from service or a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change in control. Our NEOs are not entitled to any gross-up payments to cover excise taxes imposed by the “golden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parachute” regulations under Sections 280G and 4999 of the Internal Revenue Code, as amended (the “Code”).</w:t>
      </w:r>
    </w:p>
    <w:tbl>
      <w:tblPr>
        <w:tblW w:w="493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301"/>
        <w:gridCol w:w="4636"/>
      </w:tblGrid>
      <w:tr>
        <w:trPr/>
        <w:tc>
          <w:tcPr>
            <w:tcW w:w="30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0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46</w:t>
            </w:r>
          </w:p>
        </w:tc>
        <w:tc>
          <w:tcPr>
            <w:tcW w:w="4636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sz w:val="24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TAKE-TWO INTERACTIVE SOFTWARE, INC.   |   2026</w:t>
            </w:r>
            <w:r>
              <w:rPr>
                <w:caps w:val="false"/>
                <w:smallCaps w:val="false"/>
                <w:strike w:val="false"/>
                <w:dstrike w:val="false"/>
                <w:color w:val="18333C"/>
                <w:sz w:val="24"/>
                <w:u w:val="none"/>
                <w:effect w:val="none"/>
              </w:rPr>
              <w:t xml:space="preserve"> 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Proxy Statement</w:t>
            </w:r>
          </w:p>
        </w:tc>
      </w:tr>
    </w:tbl>
    <w:p>
      <w:pPr>
        <w:pStyle w:val="TextBody"/>
        <w:bidi w:val="0"/>
        <w:spacing w:lineRule="atLeast" w:line="142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3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3"/>
          <w:u w:val="none"/>
          <w:effect w:val="none"/>
        </w:rPr>
        <w:t>COMPENSATION DISCUSSION AND ANALYSIS</w:t>
      </w:r>
    </w:p>
    <w:p>
      <w:pPr>
        <w:pStyle w:val="TextBody"/>
        <w:bidi w:val="0"/>
        <w:spacing w:lineRule="atLeast" w:line="142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2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2"/>
          <w:u w:val="none"/>
          <w:effect w:val="none"/>
        </w:rPr>
        <w:t>DETAILED DISCUSSION AND ANALYSIS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4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24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24"/>
          <w:u w:val="none"/>
          <w:effect w:val="none"/>
        </w:rPr>
        <w:t>VI. Operation of the Compensation Committee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B0295B"/>
          <w:sz w:val="20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B0295B"/>
          <w:sz w:val="20"/>
          <w:u w:val="none"/>
          <w:effect w:val="none"/>
        </w:rPr>
        <w:t>General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The Compensation Committee annually reviews compensation policies and procedures of the Company and evaluates and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approves the NEOs’ compensation. The Compensation Committee also annually reviews the ZMC relationship. This review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includes annual individual interviews with a broad group of executives, excluding our Executive Chairman and CEO and our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President, to seek feedback on the ZMC relationship.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The Compensation Committee held six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meetings during fiscal 2026. The Compensation Committee regularly meets at least four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times during the fiscal year.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B0295B"/>
          <w:sz w:val="20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B0295B"/>
          <w:sz w:val="20"/>
          <w:u w:val="none"/>
          <w:effect w:val="none"/>
        </w:rPr>
        <w:t>Role of Management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When determining NEO compensation, the Compensation Committee solicits from the Executive Chairman and CEO an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evaluation of the performance of, and recommendations with respect to compensation decisions for, each of the NEOs other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than himself. In addition, with respect to setting compensation for fiscal 2026, the Compensation Committee interviewed all of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the NEOs, including the CEO and President, and members of our management team who report to the NEOs in order to better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assess each NEO’s performance. The Compensation Committee also interviewed certain of the foregoing individuals in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connection with its annual review, in conjunction with the Board of Directors, of ZMC’s performance.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B0295B"/>
          <w:sz w:val="20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B0295B"/>
          <w:sz w:val="20"/>
          <w:u w:val="none"/>
          <w:effect w:val="none"/>
        </w:rPr>
        <w:t>Use of Outside Advisors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The Compensation Committee has historically engaged independent compensation consultants to assist in evaluating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executive and director compensation. Consistent with this practice, the Compensation Committee retained FW Cook to review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the compensation programs for our NEOs and Board of Directors and to provide advice regarding compensation matters for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fiscal 2026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and fiscal 2027.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The Compensation Committee has sole authority to retain, terminate and determine the terms of engagement with its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independent advisors.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In accordance with SEC and Nasdaq rules, the Compensation Committee assessed the independence of FW Cook and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determined that the firm is independent and that no conflict of interest exists that would prevent it from serving as an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independent advisor to the Compensation Committee. In making this determination, the Compensation Committee, reviewed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FW Cook’s policies and procedures to prevent or mitigate conflicts of interest. The Compensation Committee also reviewed and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was satisfied that no business or personal relationships or conflicts existed between members of the Compensation Committee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and the individuals at FW Cook supporting the Compensation Committee.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4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24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24"/>
          <w:u w:val="none"/>
          <w:effect w:val="none"/>
        </w:rPr>
        <w:t>VII. Compensation Governance Practices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B0295B"/>
          <w:sz w:val="20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B0295B"/>
          <w:sz w:val="20"/>
          <w:u w:val="none"/>
          <w:effect w:val="none"/>
        </w:rPr>
        <w:t>Clawback Policy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On November 27, 2023, our Compensation Committee adopted an updated version of the Take-Two Interactive Software, Inc.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Policy for the Recovery of Erroneously Awarded Compensation, which is our “Clawback Policy,” and which was updated to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reflect the Nasdaq listing standards approved in connection with the clawback rule adopted by the SEC in October 2022. Our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NEOs (including ZMC and its shareholders, partners, employees, members and other affiliates who are deemed “Executives”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under the Clawback Policy) are subject to the Clawback Policy. Our Clawback Policy is included as an exhibit to our Annual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Report on Form 10-K for the fiscal year ended March 31, 2024, which is available through our Internet website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at </w:t>
      </w:r>
      <w:r>
        <w:rPr>
          <w:rFonts w:ascii="Arial;sans-serif" w:hAnsi="Arial;sans-serif"/>
          <w:b w:val="false"/>
          <w:i/>
          <w:sz w:val="18"/>
          <w:u w:val="single"/>
        </w:rPr>
        <w:t>www.take2games.com</w:t>
      </w:r>
      <w:r>
        <w:rPr>
          <w:caps w:val="false"/>
          <w:smallCaps w:val="false"/>
          <w:u w:val="single"/>
        </w:rPr>
        <w:t> 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or the SEC’s website at </w:t>
      </w:r>
      <w:r>
        <w:rPr>
          <w:rFonts w:ascii="Arial;sans-serif" w:hAnsi="Arial;sans-serif"/>
          <w:b w:val="false"/>
          <w:i/>
          <w:sz w:val="18"/>
          <w:u w:val="single"/>
        </w:rPr>
        <w:t>www.sec.gov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.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Our Clawback Policy requires the repayment of any incentive-based compensation, including without limitation equity awards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(whether vested or unvested), paid to an executive officer (current or former) in the event we are required to prepare an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accounting restatement of our financial results due to material noncompliance with any financial reporting requirements under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applicable securities laws, without regard to whether any misconduct occurred or an executive officer’s responsibility for the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erroneous financial statements. Under our Clawback Policy, incentive-based compensation paid to any executive officer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(current or former) during the three-year period prior to the accounting restatement, that is in excess of what would have been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paid based on the restated financial information, is subject to clawback.</w:t>
      </w:r>
    </w:p>
    <w:tbl>
      <w:tblPr>
        <w:tblW w:w="4982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4651"/>
        <w:gridCol w:w="331"/>
      </w:tblGrid>
      <w:tr>
        <w:trPr/>
        <w:tc>
          <w:tcPr>
            <w:tcW w:w="46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651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sz w:val="24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TAKE-TWO INTERACTIVE SOFTWARE, INC.   |   2026</w:t>
            </w:r>
            <w:r>
              <w:rPr>
                <w:caps w:val="false"/>
                <w:smallCaps w:val="false"/>
                <w:strike w:val="false"/>
                <w:dstrike w:val="false"/>
                <w:color w:val="18333C"/>
                <w:sz w:val="24"/>
                <w:u w:val="none"/>
                <w:effect w:val="none"/>
              </w:rPr>
              <w:t xml:space="preserve"> 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 xml:space="preserve">Proxy Statement </w:t>
            </w:r>
          </w:p>
        </w:tc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47</w:t>
            </w:r>
          </w:p>
        </w:tc>
      </w:tr>
    </w:tbl>
    <w:p>
      <w:pPr>
        <w:pStyle w:val="TextBody"/>
        <w:bidi w:val="0"/>
        <w:spacing w:lineRule="atLeast" w:line="142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3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3"/>
          <w:u w:val="none"/>
          <w:effect w:val="none"/>
        </w:rPr>
        <w:t>COMPENSATION DISCUSSION AND ANALYSIS</w:t>
      </w:r>
    </w:p>
    <w:p>
      <w:pPr>
        <w:pStyle w:val="TextBody"/>
        <w:bidi w:val="0"/>
        <w:spacing w:lineRule="atLeast" w:line="142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2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2"/>
          <w:u w:val="none"/>
          <w:effect w:val="none"/>
        </w:rPr>
        <w:t>DETAILED DISCUSSION AND ANALYSIS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B0295B"/>
          <w:sz w:val="20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B0295B"/>
          <w:sz w:val="20"/>
          <w:u w:val="none"/>
          <w:effect w:val="none"/>
        </w:rPr>
        <w:t>Executive Officer Stock Ownership Requirements and Holding Requirement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The Company has adopted stock ownership requirements for executive officers of the Company as follows:</w:t>
      </w:r>
    </w:p>
    <w:tbl>
      <w:tblPr>
        <w:tblW w:w="6236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4"/>
        <w:gridCol w:w="1141"/>
        <w:gridCol w:w="109"/>
        <w:gridCol w:w="3773"/>
        <w:gridCol w:w="109"/>
        <w:gridCol w:w="826"/>
        <w:gridCol w:w="154"/>
      </w:tblGrid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77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4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64BFA6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64BFA6"/>
                <w:sz w:val="18"/>
                <w:u w:val="none"/>
                <w:effect w:val="none"/>
              </w:rPr>
              <w:t>CEO/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64BFA6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64BFA6"/>
                <w:sz w:val="18"/>
                <w:u w:val="none"/>
                <w:effect w:val="none"/>
              </w:rPr>
              <w:t>PRESIDENT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773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</w:rPr>
            </w:pPr>
            <w:r>
              <w:rPr>
                <w:caps w:val="false"/>
                <w:smallCaps w:val="false"/>
              </w:rPr>
              <w:t> 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2341245" cy="320040"/>
                  <wp:effectExtent l="0" t="0" r="0" b="0"/>
                  <wp:docPr id="286" name="Image286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6" name="Image286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41245" cy="3200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290" w:name="i-286"/>
            <w:bookmarkEnd w:id="290"/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64BFA6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64BFA6"/>
                <w:sz w:val="20"/>
                <w:u w:val="none"/>
                <w:effect w:val="none"/>
              </w:rPr>
              <w:t>6x Base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64BFA6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64BFA6"/>
                <w:sz w:val="20"/>
                <w:u w:val="none"/>
                <w:effect w:val="none"/>
              </w:rPr>
              <w:t>Salary</w:t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3924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4"/>
        <w:gridCol w:w="736"/>
        <w:gridCol w:w="109"/>
        <w:gridCol w:w="1866"/>
        <w:gridCol w:w="109"/>
        <w:gridCol w:w="826"/>
        <w:gridCol w:w="154"/>
      </w:tblGrid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86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293D56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293D56"/>
                <w:sz w:val="18"/>
                <w:u w:val="none"/>
                <w:effect w:val="none"/>
              </w:rPr>
              <w:t>OTHER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293D56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293D56"/>
                <w:sz w:val="18"/>
                <w:u w:val="none"/>
                <w:effect w:val="none"/>
              </w:rPr>
              <w:t>NEOs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866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</w:rPr>
            </w:pPr>
            <w:r>
              <w:rPr>
                <w:caps w:val="false"/>
                <w:smallCaps w:val="false"/>
              </w:rPr>
              <w:t> 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130300" cy="320040"/>
                  <wp:effectExtent l="0" t="0" r="0" b="0"/>
                  <wp:docPr id="287" name="Image287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7" name="Image287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0300" cy="3200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291" w:name="i-287"/>
            <w:bookmarkEnd w:id="291"/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/>
            <w:vAlign w:val="center"/>
          </w:tcPr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293D56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293D56"/>
                <w:sz w:val="20"/>
                <w:u w:val="none"/>
                <w:effect w:val="none"/>
              </w:rPr>
              <w:t>3x Base</w:t>
            </w:r>
          </w:p>
          <w:p>
            <w:pPr>
              <w:pStyle w:val="TableContents"/>
              <w:bidi w:val="0"/>
              <w:spacing w:lineRule="atLeast" w:line="20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293D56"/>
                <w:sz w:val="20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293D56"/>
                <w:sz w:val="20"/>
                <w:u w:val="none"/>
                <w:effect w:val="none"/>
              </w:rPr>
              <w:t>Salary</w:t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lineRule="atLeast" w:line="19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9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9"/>
          <w:u w:val="none"/>
          <w:effect w:val="none"/>
        </w:rPr>
        <w:t>Executive Chairman and CEO and President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The 2022 Management Agreement and the stock ownership guidelines policy adopted by the Board of Directors both prohibit,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prior to March 31, 2029, ZMC and any Subject Person (as defined in the 2022 Management Agreement, and which includes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each of Messrs. Zelnick and Slatoff individually) from selling or otherwise disposing of any shares of common stock of the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Company, if the Market Value (as defined in the 2022 Management Agreement) of all shares of common stock of the Company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(including any unvested restricted stock and RSUs, but excluding any unvested restricted stock or RSUs that remain subject to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performance-based vesting) held by ZMC and such Subject Persons would be less than six times the per annum management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fee (excluding any bonuses).</w:t>
      </w:r>
    </w:p>
    <w:p>
      <w:pPr>
        <w:pStyle w:val="TextBody"/>
        <w:bidi w:val="0"/>
        <w:spacing w:lineRule="atLeast" w:line="19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9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9"/>
          <w:u w:val="none"/>
          <w:effect w:val="none"/>
        </w:rPr>
        <w:t>Other NEOs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NEOs (other than the Executive Chairman and CEO and President who are subject to the requirements described above) shall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own shares of common stock having a value equal to three times their annual base salary within five years after the date of the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adoption of the requirements and future NEOs shall achieve such ownership position within five years after the date of their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appointment as NEOs. All shares that are directly owned by the NEO, shares that are beneficially owned by the NEO, such as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shares held in “street name” through a broker or shares held in trust, and unvested shares of restricted stock and RSUs (other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than any unvested restricted stock or RSUs that remain subject to performance-based vesting) are counted toward satisfying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the requirements.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The policy adopted by the Board of Directors with respect to our stock ownership requirements also include a holding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requirement. Under this requirement, NEOs must retain at least 50% of the total equity credited from grants of equity awards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(net of amounts required to pay taxes and exercise prices) until compliance with the applicable stock ownership requirement is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achieved. All NEOs are in compliance with the applicable stock ownership requirements as of the date of this proxy filing.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B0295B"/>
          <w:sz w:val="20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B0295B"/>
          <w:sz w:val="20"/>
          <w:u w:val="none"/>
          <w:effect w:val="none"/>
        </w:rPr>
        <w:t>Anti-Hedging Policy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The Company has adopted a Securities Trading Policy that prohibits, among other things, officers, directors, employees and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consultants of the Company, as well as the shareholders, partners, employees, members, and other affiliates of ZMC who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provide services to the Company and are subject to the policy, from engaging in the following transactions:</w:t>
      </w:r>
    </w:p>
    <w:p>
      <w:pPr>
        <w:pStyle w:val="TextBody"/>
        <w:bidi w:val="0"/>
        <w:spacing w:before="0" w:after="0"/>
        <w:jc w:val="left"/>
        <w:rPr>
          <w:shd w:fill="auto" w:val="clear"/>
        </w:rPr>
      </w:pPr>
      <w:r>
        <w:rPr>
          <w:shd w:fill="auto" w:val="clear"/>
        </w:rPr>
        <w:drawing>
          <wp:inline distT="0" distB="0" distL="0" distR="0">
            <wp:extent cx="6607810" cy="1342390"/>
            <wp:effectExtent l="0" t="0" r="0" b="0"/>
            <wp:docPr id="288" name="Image288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8" name="Image288" descr=""/>
                    <pic:cNvPicPr>
                      <a:picLocks noChangeAspect="1" noChangeArrowheads="1"/>
                    </pic:cNvPicPr>
                  </pic:nvPicPr>
                  <pic:blipFill>
                    <a:blip r:embed="rId28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07810" cy="13423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292" w:name="i-288"/>
      <w:bookmarkEnd w:id="292"/>
    </w:p>
    <w:tbl>
      <w:tblPr>
        <w:tblW w:w="489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4"/>
        <w:gridCol w:w="4771"/>
      </w:tblGrid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7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7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77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both"/>
              <w:rPr>
                <w:u w:val="singl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18333C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In and Out Trading. (All purchases of the Company’s</w:t>
            </w: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8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securities in the open market must be held for a</w:t>
            </w: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8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minimum of six months, with exceptions relating to the</w:t>
            </w: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80" w:before="0" w:after="0"/>
              <w:jc w:val="both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exercise of stock options.)</w:t>
            </w:r>
          </w:p>
          <w:p>
            <w:pPr>
              <w:pStyle w:val="TableContents"/>
              <w:bidi w:val="0"/>
              <w:spacing w:lineRule="atLeast" w:line="180" w:before="0" w:after="0"/>
              <w:jc w:val="both"/>
              <w:rPr>
                <w:u w:val="singl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18333C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Purchases of Company securities on margin or holding</w:t>
            </w: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80" w:before="0" w:after="0"/>
              <w:jc w:val="both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any Company securities in margin accounts.</w:t>
            </w:r>
          </w:p>
        </w:tc>
      </w:tr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7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468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4531"/>
        <w:gridCol w:w="154"/>
      </w:tblGrid>
      <w:tr>
        <w:trPr/>
        <w:tc>
          <w:tcPr>
            <w:tcW w:w="45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5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53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both"/>
              <w:rPr>
                <w:u w:val="singl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18333C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Pledging Company securities as collateral for a loan.</w:t>
            </w:r>
          </w:p>
          <w:p>
            <w:pPr>
              <w:pStyle w:val="TableContents"/>
              <w:bidi w:val="0"/>
              <w:spacing w:lineRule="atLeast" w:line="180" w:before="0" w:after="0"/>
              <w:jc w:val="both"/>
              <w:rPr>
                <w:u w:val="singl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18333C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Short sales of the Company’s securities.</w:t>
            </w:r>
          </w:p>
          <w:p>
            <w:pPr>
              <w:pStyle w:val="TableContents"/>
              <w:bidi w:val="0"/>
              <w:spacing w:lineRule="atLeast" w:line="180" w:before="0" w:after="0"/>
              <w:jc w:val="both"/>
              <w:rPr>
                <w:u w:val="singl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18333C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Transactions in puts, calls or other derivatives on the</w:t>
            </w: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8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Company’s securities, as well as any other derivative</w:t>
            </w: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80" w:before="0" w:after="0"/>
              <w:jc w:val="both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or hedging transactions on Company securities.</w:t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5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B0295B"/>
          <w:sz w:val="20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B0295B"/>
          <w:sz w:val="20"/>
          <w:u w:val="none"/>
          <w:effect w:val="none"/>
        </w:rPr>
        <w:t>Anti-Pledging Policy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As a matter of good corporate governance, our Board of Directors has adopted a formal policy against pledging common stock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pursuant to which members of the Board of Directors and executive officers may not hold common stock in margin accounts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and may not pledge common stock as collateral for a loan. None of our directors or executive officers has pledged any shares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of our common stock.</w:t>
      </w:r>
    </w:p>
    <w:tbl>
      <w:tblPr>
        <w:tblW w:w="493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301"/>
        <w:gridCol w:w="4636"/>
      </w:tblGrid>
      <w:tr>
        <w:trPr/>
        <w:tc>
          <w:tcPr>
            <w:tcW w:w="30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0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48</w:t>
            </w:r>
          </w:p>
        </w:tc>
        <w:tc>
          <w:tcPr>
            <w:tcW w:w="4636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sz w:val="24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TAKE-TWO INTERACTIVE SOFTWARE, INC.   |   2026</w:t>
            </w:r>
            <w:r>
              <w:rPr>
                <w:caps w:val="false"/>
                <w:smallCaps w:val="false"/>
                <w:strike w:val="false"/>
                <w:dstrike w:val="false"/>
                <w:color w:val="18333C"/>
                <w:sz w:val="24"/>
                <w:u w:val="none"/>
                <w:effect w:val="none"/>
              </w:rPr>
              <w:t xml:space="preserve"> 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Proxy Statement</w:t>
            </w:r>
          </w:p>
        </w:tc>
      </w:tr>
    </w:tbl>
    <w:p>
      <w:pPr>
        <w:pStyle w:val="TextBody"/>
        <w:bidi w:val="0"/>
        <w:spacing w:lineRule="atLeast" w:line="142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3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3"/>
          <w:u w:val="none"/>
          <w:effect w:val="none"/>
        </w:rPr>
        <w:t>COMPENSATION DISCUSSION AND ANALYSIS</w:t>
      </w:r>
    </w:p>
    <w:p>
      <w:pPr>
        <w:pStyle w:val="TextBody"/>
        <w:bidi w:val="0"/>
        <w:spacing w:lineRule="atLeast" w:line="142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2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2"/>
          <w:u w:val="none"/>
          <w:effect w:val="none"/>
        </w:rPr>
        <w:t>REPORT OF THE COMPENSATION COMMITTEE OF THE BOARD OF DIRECTORS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B0295B"/>
          <w:sz w:val="20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B0295B"/>
          <w:sz w:val="20"/>
          <w:u w:val="none"/>
          <w:effect w:val="none"/>
        </w:rPr>
        <w:t>Impact of Tax and Accounting Rules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As a general matter, the Compensation Committee reviews and considers the various tax and accounting implications of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compensation vehicles utilized by the Company.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With respect to accounting considerations, the Compensation Committee examines the accounting cost associated with equity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compensation in light of requirements under the Accounting Standards Codification (“ASC”) stock compensation guidance,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which generally requires the Company to recognize compensation expense relating to equity awards based upon the grant date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fair value of those awards. The Company also considers the accounting impact of preserving flexibility to settle RSUs awards in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cash, shares, or a combination of cash and shares.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With respect to taxes, the Compensation Committee may consider the anticipated tax treatment of various payments and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benefits to the Company and, when relevant, to its executives. Section 162(m) of the Code generally prohibits any publicly held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corporation from taking a federal income tax deduction for compensation paid in excess of $1 million in any taxable year to the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NEOs, subject to certain exceptions. However, the Company generally believes that it is in our best interest and that of our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shareholders to have the flexibility to pay compensation that was not deductible under the limitations of Section 162(m) of the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Code to provide a compensation package consistent with our program and objectives.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8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28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28"/>
          <w:u w:val="none"/>
          <w:effect w:val="none"/>
        </w:rPr>
        <w:t>Report of the Compensation Committee of the Board of Directors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The Compensation Committee has reviewed and discussed with management the Compensation Discussion and Analysis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contained in this Proxy Statement. Based upon this review and discussion, the Compensation Committee recommended to the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Board of Directors of the Company that the Compensation Discussion and Analysis be included in this Proxy Statement.</w:t>
      </w:r>
    </w:p>
    <w:tbl>
      <w:tblPr>
        <w:tblW w:w="5132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16"/>
        <w:gridCol w:w="3916"/>
      </w:tblGrid>
      <w:tr>
        <w:trPr/>
        <w:tc>
          <w:tcPr>
            <w:tcW w:w="121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91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21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July 27, 2026</w:t>
            </w:r>
          </w:p>
        </w:tc>
        <w:tc>
          <w:tcPr>
            <w:tcW w:w="391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 xml:space="preserve">Submitted by the Compensation Committee 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of the Board of Directors: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Michael Sheresky (Chair)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Michael Dornemann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Roland Hernandez</w:t>
            </w:r>
          </w:p>
        </w:tc>
      </w:tr>
    </w:tbl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8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28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28"/>
          <w:u w:val="none"/>
          <w:effect w:val="none"/>
        </w:rPr>
        <w:t>Risk Assessment of Overall Compensation Program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The Compensation Committee regularly reviews senior executive compensation and Company-wide compensation programs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and policies to identify and mitigate potential risks and to ensure that our compensation arrangements are not reasonably likely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to have a material adverse effect on the Company.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In designing our compensation programs, the Compensation Committee seeks to balance the achievement of financial and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strategic objectives with prudent risk management. Our compensation structure includes a mix of short-term and long-term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incentives that encourage employees to focus on both near-term performance and longer-term value creation. Long-term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incentives, including equity awards that vest over time and, in some cases, include a market-based performance metric,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encourage employees to remain focused on sustained stock price appreciation. The Company also maintains individual bonus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caps for senior executives further mitigating risk.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Additional risk-mitigating features include our Clawback Policy, which requires the reimbursement of bonus or incentive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compensation and/or the cancellation of outstanding equity previously granted in certain cases, and stock ownership guidelines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that require executive officers to hold a significant amount of our common stock or equivalents. We also prohibit transactions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designed to limit or eliminate economic risks to our employees of owning our common stock, such as options, puts, and calls,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so our executives cannot insulate themselves from the effects of poor stock price performance.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Senior executives from our risk, compliance, administrative, and finance functions, as well as the Compensation Committee’s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independent compensation consultant, are involved in this annual review process. Based on this review, the Compensation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Committee concluded that the Company’s compensation programs for fiscal 2026, were not reasonably likely to have a material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adverse effect on the Company.</w:t>
      </w:r>
    </w:p>
    <w:tbl>
      <w:tblPr>
        <w:tblW w:w="4982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4651"/>
        <w:gridCol w:w="331"/>
      </w:tblGrid>
      <w:tr>
        <w:trPr/>
        <w:tc>
          <w:tcPr>
            <w:tcW w:w="46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651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sz w:val="24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TAKE-TWO INTERACTIVE SOFTWARE, INC.   |   2026</w:t>
            </w:r>
            <w:r>
              <w:rPr>
                <w:caps w:val="false"/>
                <w:smallCaps w:val="false"/>
                <w:strike w:val="false"/>
                <w:dstrike w:val="false"/>
                <w:color w:val="18333C"/>
                <w:sz w:val="24"/>
                <w:u w:val="none"/>
                <w:effect w:val="none"/>
              </w:rPr>
              <w:t xml:space="preserve"> 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 xml:space="preserve">Proxy Statement </w:t>
            </w:r>
          </w:p>
        </w:tc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49</w:t>
            </w:r>
          </w:p>
        </w:tc>
      </w:tr>
    </w:tbl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38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38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38"/>
          <w:u w:val="none"/>
          <w:effect w:val="none"/>
        </w:rPr>
        <w:t>EXECUTIVE COMPENSATION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The following table sets forth summary information for the fiscal years ended March 31, 2026, March 31, 2025, and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March 31, 2024, with respect to cash and all other compensation paid by the Company to, or earned by, the Company’s NEOs.</w:t>
      </w:r>
    </w:p>
    <w:p>
      <w:pPr>
        <w:pStyle w:val="TextBody"/>
        <w:bidi w:val="0"/>
        <w:spacing w:lineRule="atLeast" w:line="28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28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28"/>
          <w:u w:val="none"/>
          <w:effect w:val="none"/>
        </w:rPr>
        <w:t>Summary Compensation Table</w:t>
      </w:r>
      <w:bookmarkStart w:id="293" w:name="ic50bf8ccfcc14893803e1dc7ad60a48b_3826"/>
      <w:bookmarkEnd w:id="293"/>
    </w:p>
    <w:tbl>
      <w:tblPr>
        <w:tblW w:w="8482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371"/>
        <w:gridCol w:w="571"/>
        <w:gridCol w:w="826"/>
        <w:gridCol w:w="1201"/>
        <w:gridCol w:w="1276"/>
        <w:gridCol w:w="1276"/>
        <w:gridCol w:w="961"/>
      </w:tblGrid>
      <w:tr>
        <w:trPr/>
        <w:tc>
          <w:tcPr>
            <w:tcW w:w="23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0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71" w:type="dxa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Name and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Principal Position</w:t>
            </w:r>
          </w:p>
        </w:tc>
        <w:tc>
          <w:tcPr>
            <w:tcW w:w="571" w:type="dxa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Fiscal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Year</w:t>
            </w:r>
          </w:p>
        </w:tc>
        <w:tc>
          <w:tcPr>
            <w:tcW w:w="826" w:type="dxa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Salary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($)</w:t>
            </w:r>
          </w:p>
        </w:tc>
        <w:tc>
          <w:tcPr>
            <w:tcW w:w="1201" w:type="dxa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Stock Awards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($)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0"/>
                <w:u w:val="none"/>
                <w:effect w:val="none"/>
              </w:rPr>
              <w:t>(1)</w:t>
            </w:r>
          </w:p>
        </w:tc>
        <w:tc>
          <w:tcPr>
            <w:tcW w:w="1276" w:type="dxa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Non-Equity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Incentive Plan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Compensation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($)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0"/>
                <w:u w:val="none"/>
                <w:effect w:val="none"/>
              </w:rPr>
              <w:t>(2)</w:t>
            </w:r>
          </w:p>
        </w:tc>
        <w:tc>
          <w:tcPr>
            <w:tcW w:w="1276" w:type="dxa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All Other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Compensation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($)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0"/>
                <w:u w:val="none"/>
                <w:effect w:val="none"/>
              </w:rPr>
              <w:t>(3)</w:t>
            </w:r>
          </w:p>
        </w:tc>
        <w:tc>
          <w:tcPr>
            <w:tcW w:w="961" w:type="dxa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Total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($)</w:t>
            </w:r>
          </w:p>
        </w:tc>
      </w:tr>
      <w:tr>
        <w:trPr/>
        <w:tc>
          <w:tcPr>
            <w:tcW w:w="2371" w:type="dxa"/>
            <w:vMerge w:val="restart"/>
            <w:tcBorders>
              <w:top w:val="single" w:sz="4" w:space="0" w:color="18333C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/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sz w:val="17"/>
                <w:u w:val="none"/>
                <w:effect w:val="none"/>
              </w:rPr>
              <w:t>Strauss Zelnick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sz w:val="11"/>
                <w:u w:val="none"/>
                <w:effect w:val="none"/>
              </w:rPr>
              <w:t>(4)</w:t>
            </w:r>
          </w:p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7"/>
                <w:u w:val="none"/>
                <w:effect w:val="none"/>
              </w:rPr>
              <w:t xml:space="preserve">Executive Chairman and Chief </w:t>
            </w:r>
          </w:p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7"/>
                <w:u w:val="none"/>
                <w:effect w:val="none"/>
              </w:rPr>
              <w:t>Executive Officer</w:t>
            </w:r>
          </w:p>
        </w:tc>
        <w:tc>
          <w:tcPr>
            <w:tcW w:w="571" w:type="dxa"/>
            <w:tcBorders>
              <w:top w:val="single" w:sz="4" w:space="0" w:color="18333C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2026</w:t>
            </w:r>
          </w:p>
        </w:tc>
        <w:tc>
          <w:tcPr>
            <w:tcW w:w="826" w:type="dxa"/>
            <w:tcBorders>
              <w:top w:val="single" w:sz="4" w:space="0" w:color="18333C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1</w:t>
            </w:r>
          </w:p>
        </w:tc>
        <w:tc>
          <w:tcPr>
            <w:tcW w:w="1201" w:type="dxa"/>
            <w:tcBorders>
              <w:top w:val="single" w:sz="4" w:space="0" w:color="18333C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276" w:type="dxa"/>
            <w:tcBorders>
              <w:top w:val="single" w:sz="4" w:space="0" w:color="18333C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276" w:type="dxa"/>
            <w:tcBorders>
              <w:top w:val="single" w:sz="4" w:space="0" w:color="18333C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403,018</w:t>
            </w:r>
          </w:p>
        </w:tc>
        <w:tc>
          <w:tcPr>
            <w:tcW w:w="961" w:type="dxa"/>
            <w:tcBorders>
              <w:top w:val="single" w:sz="4" w:space="0" w:color="18333C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403,019</w:t>
            </w:r>
          </w:p>
        </w:tc>
      </w:tr>
      <w:tr>
        <w:trPr/>
        <w:tc>
          <w:tcPr>
            <w:tcW w:w="2371" w:type="dxa"/>
            <w:vMerge w:val="continue"/>
            <w:tcBorders>
              <w:top w:val="single" w:sz="4" w:space="0" w:color="18333C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71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2025</w:t>
            </w:r>
          </w:p>
        </w:tc>
        <w:tc>
          <w:tcPr>
            <w:tcW w:w="82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1</w:t>
            </w:r>
          </w:p>
        </w:tc>
        <w:tc>
          <w:tcPr>
            <w:tcW w:w="1201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27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27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106,456</w:t>
            </w:r>
          </w:p>
        </w:tc>
        <w:tc>
          <w:tcPr>
            <w:tcW w:w="961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106,457</w:t>
            </w:r>
          </w:p>
        </w:tc>
      </w:tr>
      <w:tr>
        <w:trPr/>
        <w:tc>
          <w:tcPr>
            <w:tcW w:w="2371" w:type="dxa"/>
            <w:vMerge w:val="continue"/>
            <w:tcBorders>
              <w:top w:val="single" w:sz="4" w:space="0" w:color="18333C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71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2024</w:t>
            </w:r>
          </w:p>
        </w:tc>
        <w:tc>
          <w:tcPr>
            <w:tcW w:w="82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1</w:t>
            </w:r>
          </w:p>
        </w:tc>
        <w:tc>
          <w:tcPr>
            <w:tcW w:w="1201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27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27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274,073</w:t>
            </w:r>
          </w:p>
        </w:tc>
        <w:tc>
          <w:tcPr>
            <w:tcW w:w="961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274,074</w:t>
            </w:r>
          </w:p>
        </w:tc>
      </w:tr>
      <w:tr>
        <w:trPr/>
        <w:tc>
          <w:tcPr>
            <w:tcW w:w="2371" w:type="dxa"/>
            <w:vMerge w:val="restart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sz w:val="17"/>
                <w:u w:val="none"/>
                <w:effect w:val="none"/>
              </w:rPr>
              <w:t>Lainie Goldstein</w:t>
            </w:r>
          </w:p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7"/>
                <w:u w:val="none"/>
                <w:effect w:val="none"/>
              </w:rPr>
              <w:t>Chief Financial Officer</w:t>
            </w:r>
          </w:p>
        </w:tc>
        <w:tc>
          <w:tcPr>
            <w:tcW w:w="571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2026</w:t>
            </w:r>
          </w:p>
        </w:tc>
        <w:tc>
          <w:tcPr>
            <w:tcW w:w="82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1,000,000</w:t>
            </w:r>
          </w:p>
        </w:tc>
        <w:tc>
          <w:tcPr>
            <w:tcW w:w="1201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7,285,615</w:t>
            </w:r>
          </w:p>
        </w:tc>
        <w:tc>
          <w:tcPr>
            <w:tcW w:w="127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3,000,000</w:t>
            </w:r>
          </w:p>
        </w:tc>
        <w:tc>
          <w:tcPr>
            <w:tcW w:w="127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13,915</w:t>
            </w:r>
          </w:p>
        </w:tc>
        <w:tc>
          <w:tcPr>
            <w:tcW w:w="961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11,299,530</w:t>
            </w:r>
          </w:p>
        </w:tc>
      </w:tr>
      <w:tr>
        <w:trPr/>
        <w:tc>
          <w:tcPr>
            <w:tcW w:w="2371" w:type="dxa"/>
            <w:vMerge w:val="continue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71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2025</w:t>
            </w:r>
          </w:p>
        </w:tc>
        <w:tc>
          <w:tcPr>
            <w:tcW w:w="82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1,000,000</w:t>
            </w:r>
          </w:p>
        </w:tc>
        <w:tc>
          <w:tcPr>
            <w:tcW w:w="1201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8,839,424</w:t>
            </w:r>
          </w:p>
        </w:tc>
        <w:tc>
          <w:tcPr>
            <w:tcW w:w="127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1,495,500</w:t>
            </w:r>
          </w:p>
        </w:tc>
        <w:tc>
          <w:tcPr>
            <w:tcW w:w="127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13,800</w:t>
            </w:r>
          </w:p>
        </w:tc>
        <w:tc>
          <w:tcPr>
            <w:tcW w:w="961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11,348,724</w:t>
            </w:r>
          </w:p>
        </w:tc>
      </w:tr>
      <w:tr>
        <w:trPr/>
        <w:tc>
          <w:tcPr>
            <w:tcW w:w="2371" w:type="dxa"/>
            <w:vMerge w:val="continue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71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2024</w:t>
            </w:r>
          </w:p>
        </w:tc>
        <w:tc>
          <w:tcPr>
            <w:tcW w:w="82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1,000,000</w:t>
            </w:r>
          </w:p>
        </w:tc>
        <w:tc>
          <w:tcPr>
            <w:tcW w:w="1201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8,219,600</w:t>
            </w:r>
          </w:p>
        </w:tc>
        <w:tc>
          <w:tcPr>
            <w:tcW w:w="127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952,800</w:t>
            </w:r>
          </w:p>
        </w:tc>
        <w:tc>
          <w:tcPr>
            <w:tcW w:w="127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14,081</w:t>
            </w:r>
          </w:p>
        </w:tc>
        <w:tc>
          <w:tcPr>
            <w:tcW w:w="961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10,186,481</w:t>
            </w:r>
          </w:p>
        </w:tc>
      </w:tr>
      <w:tr>
        <w:trPr/>
        <w:tc>
          <w:tcPr>
            <w:tcW w:w="2371" w:type="dxa"/>
            <w:vMerge w:val="restart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/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sz w:val="17"/>
                <w:u w:val="none"/>
                <w:effect w:val="none"/>
              </w:rPr>
              <w:t>Karl Slatoff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sz w:val="11"/>
                <w:u w:val="none"/>
                <w:effect w:val="none"/>
              </w:rPr>
              <w:t>(4)</w:t>
            </w:r>
          </w:p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7"/>
                <w:u w:val="none"/>
                <w:effect w:val="none"/>
              </w:rPr>
              <w:t>President</w:t>
            </w:r>
          </w:p>
        </w:tc>
        <w:tc>
          <w:tcPr>
            <w:tcW w:w="571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2026</w:t>
            </w:r>
          </w:p>
        </w:tc>
        <w:tc>
          <w:tcPr>
            <w:tcW w:w="82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1</w:t>
            </w:r>
          </w:p>
        </w:tc>
        <w:tc>
          <w:tcPr>
            <w:tcW w:w="1201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27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27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961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1</w:t>
            </w:r>
          </w:p>
        </w:tc>
      </w:tr>
      <w:tr>
        <w:trPr/>
        <w:tc>
          <w:tcPr>
            <w:tcW w:w="2371" w:type="dxa"/>
            <w:vMerge w:val="continue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71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2025</w:t>
            </w:r>
          </w:p>
        </w:tc>
        <w:tc>
          <w:tcPr>
            <w:tcW w:w="82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1</w:t>
            </w:r>
          </w:p>
        </w:tc>
        <w:tc>
          <w:tcPr>
            <w:tcW w:w="1201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27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27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961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1</w:t>
            </w:r>
          </w:p>
        </w:tc>
      </w:tr>
      <w:tr>
        <w:trPr/>
        <w:tc>
          <w:tcPr>
            <w:tcW w:w="2371" w:type="dxa"/>
            <w:vMerge w:val="continue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71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2024</w:t>
            </w:r>
          </w:p>
        </w:tc>
        <w:tc>
          <w:tcPr>
            <w:tcW w:w="82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1</w:t>
            </w:r>
          </w:p>
        </w:tc>
        <w:tc>
          <w:tcPr>
            <w:tcW w:w="1201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27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27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961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1</w:t>
            </w:r>
          </w:p>
        </w:tc>
      </w:tr>
      <w:tr>
        <w:trPr/>
        <w:tc>
          <w:tcPr>
            <w:tcW w:w="2371" w:type="dxa"/>
            <w:vMerge w:val="restart"/>
            <w:tcBorders>
              <w:top w:val="single" w:sz="2" w:space="0" w:color="8C8D8F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sz w:val="17"/>
                <w:u w:val="none"/>
                <w:effect w:val="none"/>
              </w:rPr>
              <w:t>Daniel Emerson</w:t>
            </w:r>
          </w:p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7"/>
                <w:u w:val="none"/>
                <w:effect w:val="none"/>
              </w:rPr>
              <w:t xml:space="preserve">Executive Vice President and </w:t>
            </w:r>
          </w:p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7"/>
                <w:u w:val="none"/>
                <w:effect w:val="none"/>
              </w:rPr>
              <w:t>Chief Legal Officer</w:t>
            </w:r>
          </w:p>
        </w:tc>
        <w:tc>
          <w:tcPr>
            <w:tcW w:w="571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2026</w:t>
            </w:r>
          </w:p>
        </w:tc>
        <w:tc>
          <w:tcPr>
            <w:tcW w:w="82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850,000</w:t>
            </w:r>
          </w:p>
        </w:tc>
        <w:tc>
          <w:tcPr>
            <w:tcW w:w="1201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4,999,874</w:t>
            </w:r>
          </w:p>
        </w:tc>
        <w:tc>
          <w:tcPr>
            <w:tcW w:w="127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2,125,000</w:t>
            </w:r>
          </w:p>
        </w:tc>
        <w:tc>
          <w:tcPr>
            <w:tcW w:w="127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14,000</w:t>
            </w:r>
          </w:p>
        </w:tc>
        <w:tc>
          <w:tcPr>
            <w:tcW w:w="961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7,988,874</w:t>
            </w:r>
          </w:p>
        </w:tc>
      </w:tr>
      <w:tr>
        <w:trPr/>
        <w:tc>
          <w:tcPr>
            <w:tcW w:w="2371" w:type="dxa"/>
            <w:vMerge w:val="continue"/>
            <w:tcBorders>
              <w:top w:val="single" w:sz="2" w:space="0" w:color="8C8D8F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71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2025</w:t>
            </w:r>
          </w:p>
        </w:tc>
        <w:tc>
          <w:tcPr>
            <w:tcW w:w="82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850,000</w:t>
            </w:r>
          </w:p>
        </w:tc>
        <w:tc>
          <w:tcPr>
            <w:tcW w:w="1201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6,066,139</w:t>
            </w:r>
          </w:p>
        </w:tc>
        <w:tc>
          <w:tcPr>
            <w:tcW w:w="127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1,059,313</w:t>
            </w:r>
          </w:p>
        </w:tc>
        <w:tc>
          <w:tcPr>
            <w:tcW w:w="127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56,122</w:t>
            </w:r>
          </w:p>
        </w:tc>
        <w:tc>
          <w:tcPr>
            <w:tcW w:w="961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8,031,574</w:t>
            </w:r>
          </w:p>
        </w:tc>
      </w:tr>
      <w:tr>
        <w:trPr/>
        <w:tc>
          <w:tcPr>
            <w:tcW w:w="2371" w:type="dxa"/>
            <w:vMerge w:val="continue"/>
            <w:tcBorders>
              <w:top w:val="single" w:sz="2" w:space="0" w:color="8C8D8F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71" w:type="dxa"/>
            <w:tcBorders>
              <w:top w:val="single" w:sz="2" w:space="0" w:color="8C8D8F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2024</w:t>
            </w:r>
          </w:p>
        </w:tc>
        <w:tc>
          <w:tcPr>
            <w:tcW w:w="826" w:type="dxa"/>
            <w:tcBorders>
              <w:top w:val="single" w:sz="2" w:space="0" w:color="8C8D8F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850,000</w:t>
            </w:r>
          </w:p>
        </w:tc>
        <w:tc>
          <w:tcPr>
            <w:tcW w:w="1201" w:type="dxa"/>
            <w:tcBorders>
              <w:top w:val="single" w:sz="2" w:space="0" w:color="8C8D8F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5,640,876</w:t>
            </w:r>
          </w:p>
        </w:tc>
        <w:tc>
          <w:tcPr>
            <w:tcW w:w="1276" w:type="dxa"/>
            <w:tcBorders>
              <w:top w:val="single" w:sz="2" w:space="0" w:color="8C8D8F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674,900</w:t>
            </w:r>
          </w:p>
        </w:tc>
        <w:tc>
          <w:tcPr>
            <w:tcW w:w="1276" w:type="dxa"/>
            <w:tcBorders>
              <w:top w:val="single" w:sz="2" w:space="0" w:color="8C8D8F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13,200</w:t>
            </w:r>
          </w:p>
        </w:tc>
        <w:tc>
          <w:tcPr>
            <w:tcW w:w="961" w:type="dxa"/>
            <w:tcBorders>
              <w:top w:val="single" w:sz="2" w:space="0" w:color="8C8D8F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7,178,976</w:t>
            </w:r>
          </w:p>
        </w:tc>
      </w:tr>
    </w:tbl>
    <w:p>
      <w:pPr>
        <w:pStyle w:val="TextBody"/>
        <w:bidi w:val="0"/>
        <w:spacing w:lineRule="atLeast" w:line="142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(1)Represents the aggregate grant date fair value of stock awards granted to our NEOs in each of the reporting periods, determined under ASC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42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Topic 718, </w:t>
      </w:r>
      <w:r>
        <w:rPr>
          <w:rFonts w:ascii="Arial;sans-serif" w:hAnsi="Arial;sans-serif"/>
          <w:b w:val="false"/>
          <w:i/>
          <w:strike w:val="false"/>
          <w:dstrike w:val="false"/>
          <w:sz w:val="14"/>
          <w:u w:val="none"/>
          <w:effect w:val="none"/>
        </w:rPr>
        <w:t>Compensation—Stock Compensation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. For additional information with respect to stock awards granted during fiscal 2026, see Note 16 under the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42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heading “Stock-Based Compensation” of the Notes to Consolidated Financial Statements included in the Company’s Annual Report on Form 10-K for fiscal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42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2026. The amounts above reflect the grant date fair value for these awards and do not necessarily correspond to the actual value that might be realized by the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42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NEOs, which depends on the market value of the Company’s common stock on a date in the future when the stock award vests. For time-based RSUs, that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42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value is based on the fair market value of the Company’s common stock on the grant date and is determined by multiplying the number of shares subject to the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42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grant by the closing price per share of the Company’s common stock. The value of the performance-based RSUs reflects the value of the awards at the grant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42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date based upon the probable outcome of the performance conditions using the Monte Carlo simulation model and is consistent with our estimate of the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42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aggregate compensation cost to be recognized over the vesting period determined in accordance with ASC Topic 718, </w:t>
      </w:r>
      <w:r>
        <w:rPr>
          <w:rFonts w:ascii="Arial;sans-serif" w:hAnsi="Arial;sans-serif"/>
          <w:b w:val="false"/>
          <w:i/>
          <w:strike w:val="false"/>
          <w:dstrike w:val="false"/>
          <w:sz w:val="14"/>
          <w:u w:val="none"/>
          <w:effect w:val="none"/>
        </w:rPr>
        <w:t>Compensation—Stock Compensation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,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42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which is less than the maximum possible value. The following table shows the value of the NEOs’ respective performance-based awards on the date of grant at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42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both the probable outcome of the performance conditions, which is reflected in the table above, as well as the maximum achievement of the applicable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42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performance conditions.</w:t>
      </w:r>
    </w:p>
    <w:tbl>
      <w:tblPr>
        <w:tblW w:w="3709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171"/>
        <w:gridCol w:w="841"/>
        <w:gridCol w:w="721"/>
        <w:gridCol w:w="976"/>
      </w:tblGrid>
      <w:tr>
        <w:trPr/>
        <w:tc>
          <w:tcPr>
            <w:tcW w:w="11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2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171" w:type="dxa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Name</w:t>
            </w:r>
          </w:p>
        </w:tc>
        <w:tc>
          <w:tcPr>
            <w:tcW w:w="841" w:type="dxa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Fiscal Year</w:t>
            </w:r>
          </w:p>
        </w:tc>
        <w:tc>
          <w:tcPr>
            <w:tcW w:w="721" w:type="dxa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Probable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Outcome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($)</w:t>
            </w:r>
          </w:p>
        </w:tc>
        <w:tc>
          <w:tcPr>
            <w:tcW w:w="976" w:type="dxa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Maximum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Performance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($)</w:t>
            </w:r>
          </w:p>
        </w:tc>
      </w:tr>
      <w:tr>
        <w:trPr/>
        <w:tc>
          <w:tcPr>
            <w:tcW w:w="1171" w:type="dxa"/>
            <w:vMerge w:val="restart"/>
            <w:tcBorders>
              <w:top w:val="single" w:sz="4" w:space="0" w:color="18333C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Lainie Goldstein</w:t>
            </w:r>
          </w:p>
        </w:tc>
        <w:tc>
          <w:tcPr>
            <w:tcW w:w="841" w:type="dxa"/>
            <w:tcBorders>
              <w:top w:val="single" w:sz="4" w:space="0" w:color="18333C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2026</w:t>
            </w:r>
          </w:p>
        </w:tc>
        <w:tc>
          <w:tcPr>
            <w:tcW w:w="721" w:type="dxa"/>
            <w:tcBorders>
              <w:top w:val="single" w:sz="4" w:space="0" w:color="18333C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5,238,912</w:t>
            </w:r>
          </w:p>
        </w:tc>
        <w:tc>
          <w:tcPr>
            <w:tcW w:w="976" w:type="dxa"/>
            <w:tcBorders>
              <w:top w:val="single" w:sz="4" w:space="0" w:color="18333C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8,186,358</w:t>
            </w:r>
          </w:p>
        </w:tc>
      </w:tr>
      <w:tr>
        <w:trPr/>
        <w:tc>
          <w:tcPr>
            <w:tcW w:w="1171" w:type="dxa"/>
            <w:vMerge w:val="continue"/>
            <w:tcBorders>
              <w:top w:val="single" w:sz="4" w:space="0" w:color="18333C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1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2025</w:t>
            </w:r>
          </w:p>
        </w:tc>
        <w:tc>
          <w:tcPr>
            <w:tcW w:w="721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6,627,899</w:t>
            </w:r>
          </w:p>
        </w:tc>
        <w:tc>
          <w:tcPr>
            <w:tcW w:w="97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13,255,798</w:t>
            </w:r>
          </w:p>
        </w:tc>
      </w:tr>
      <w:tr>
        <w:trPr/>
        <w:tc>
          <w:tcPr>
            <w:tcW w:w="1171" w:type="dxa"/>
            <w:vMerge w:val="continue"/>
            <w:tcBorders>
              <w:top w:val="single" w:sz="4" w:space="0" w:color="18333C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1" w:type="dxa"/>
            <w:tcBorders>
              <w:top w:val="single" w:sz="2" w:space="0" w:color="8C8D8F"/>
              <w:bottom w:val="single" w:sz="2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2024</w:t>
            </w:r>
          </w:p>
        </w:tc>
        <w:tc>
          <w:tcPr>
            <w:tcW w:w="721" w:type="dxa"/>
            <w:tcBorders>
              <w:top w:val="single" w:sz="2" w:space="0" w:color="8C8D8F"/>
              <w:bottom w:val="single" w:sz="2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6,033,708</w:t>
            </w:r>
          </w:p>
        </w:tc>
        <w:tc>
          <w:tcPr>
            <w:tcW w:w="976" w:type="dxa"/>
            <w:tcBorders>
              <w:top w:val="single" w:sz="2" w:space="0" w:color="8C8D8F"/>
              <w:bottom w:val="single" w:sz="2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12,067,417</w:t>
            </w:r>
          </w:p>
        </w:tc>
      </w:tr>
      <w:tr>
        <w:trPr/>
        <w:tc>
          <w:tcPr>
            <w:tcW w:w="1171" w:type="dxa"/>
            <w:vMerge w:val="restart"/>
            <w:tcBorders>
              <w:top w:val="single" w:sz="2" w:space="0" w:color="8C8D8F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Daniel Emerson</w:t>
            </w:r>
          </w:p>
        </w:tc>
        <w:tc>
          <w:tcPr>
            <w:tcW w:w="841" w:type="dxa"/>
            <w:tcBorders>
              <w:top w:val="single" w:sz="2" w:space="0" w:color="000000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2026</w:t>
            </w:r>
          </w:p>
        </w:tc>
        <w:tc>
          <w:tcPr>
            <w:tcW w:w="721" w:type="dxa"/>
            <w:tcBorders>
              <w:top w:val="single" w:sz="2" w:space="0" w:color="000000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3,595,354</w:t>
            </w:r>
          </w:p>
        </w:tc>
        <w:tc>
          <w:tcPr>
            <w:tcW w:w="976" w:type="dxa"/>
            <w:tcBorders>
              <w:top w:val="single" w:sz="2" w:space="0" w:color="000000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5,618,080</w:t>
            </w:r>
          </w:p>
        </w:tc>
      </w:tr>
      <w:tr>
        <w:trPr/>
        <w:tc>
          <w:tcPr>
            <w:tcW w:w="1171" w:type="dxa"/>
            <w:vMerge w:val="continue"/>
            <w:tcBorders>
              <w:top w:val="single" w:sz="2" w:space="0" w:color="8C8D8F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1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2025</w:t>
            </w:r>
          </w:p>
        </w:tc>
        <w:tc>
          <w:tcPr>
            <w:tcW w:w="721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4,548,492</w:t>
            </w:r>
          </w:p>
        </w:tc>
        <w:tc>
          <w:tcPr>
            <w:tcW w:w="97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9,096,984</w:t>
            </w:r>
          </w:p>
        </w:tc>
      </w:tr>
      <w:tr>
        <w:trPr/>
        <w:tc>
          <w:tcPr>
            <w:tcW w:w="1171" w:type="dxa"/>
            <w:vMerge w:val="continue"/>
            <w:tcBorders>
              <w:top w:val="single" w:sz="2" w:space="0" w:color="8C8D8F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1" w:type="dxa"/>
            <w:tcBorders>
              <w:top w:val="single" w:sz="2" w:space="0" w:color="8C8D8F"/>
              <w:bottom w:val="single" w:sz="4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2024</w:t>
            </w:r>
          </w:p>
        </w:tc>
        <w:tc>
          <w:tcPr>
            <w:tcW w:w="721" w:type="dxa"/>
            <w:tcBorders>
              <w:top w:val="single" w:sz="2" w:space="0" w:color="8C8D8F"/>
              <w:bottom w:val="single" w:sz="4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4,140,732</w:t>
            </w:r>
          </w:p>
        </w:tc>
        <w:tc>
          <w:tcPr>
            <w:tcW w:w="976" w:type="dxa"/>
            <w:tcBorders>
              <w:top w:val="single" w:sz="2" w:space="0" w:color="8C8D8F"/>
              <w:bottom w:val="single" w:sz="4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4"/>
                <w:u w:val="none"/>
                <w:effect w:val="none"/>
              </w:rPr>
              <w:t>8,281,464</w:t>
            </w:r>
          </w:p>
        </w:tc>
      </w:tr>
    </w:tbl>
    <w:p>
      <w:pPr>
        <w:pStyle w:val="TextBody"/>
        <w:bidi w:val="0"/>
        <w:spacing w:lineRule="atLeast" w:line="142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(2)These amounts represent annual cash incentive payments. For more information, refer to “Compensation Discussion and Analysis—Annual Cash Incentive”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42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above and the “Grants of Plan-Based Awards” table below.</w:t>
      </w:r>
    </w:p>
    <w:p>
      <w:pPr>
        <w:pStyle w:val="TextBody"/>
        <w:bidi w:val="0"/>
        <w:spacing w:lineRule="atLeast" w:line="142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(3)The amounts set forth in this column for fiscal 2026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represent (i) the Company’s matching contributions to the Company’s 401(k) plan for Ms. Goldstein and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42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Mr. Emerson, (ii) a club membership fee paid by the Company on behalf of Mr. Zelnick, used primarily for general corporate and corporate development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42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purposes, (iii) a parking spot for Mr. Zelnick at the Company’s offices located at 110 West 44th Street, New York, New York 10036 paid for by the Company, and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42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(iv) fees for personal security services for Mr. Zelnick in an amount equal to $392,899 paid for by the Company, based on our security assessment for the fiscal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42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year. The incremental cost to the Company associated with the home security measures is determined based upon the amount paid by the Company to the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42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applicable outside security provider.</w:t>
      </w:r>
    </w:p>
    <w:p>
      <w:pPr>
        <w:pStyle w:val="TextBody"/>
        <w:bidi w:val="0"/>
        <w:spacing w:lineRule="atLeast" w:line="142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(4)As discussed in more detail below, Messrs. Zelnick and Slatoff were compensated for their respective services to the Company during fiscal years 2026, 2025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42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and 2024 pursuant to the 2022 Management Agreement. The provisions of the 2022 Management Agreement establish the payments and benefits to which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42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ZMC is entitled as consideration for providing the services set forth therein. In general, in connection with their provision of services to the Company, the actual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42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amount of compensation received by Messrs. Zelnick and Slatoff is determined in the sole discretion of ZMC and without the Company’s knowledge, except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42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that, under the terms of the 2022 Management Agreement, Mr. Zelnick may not receive more than 60% of the payments and benefits made to ZMC and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42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Mr. Slatoff may not receive more than 40% of the payments and benefits made to ZMC.</w:t>
      </w:r>
    </w:p>
    <w:tbl>
      <w:tblPr>
        <w:tblW w:w="493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301"/>
        <w:gridCol w:w="4636"/>
      </w:tblGrid>
      <w:tr>
        <w:trPr/>
        <w:tc>
          <w:tcPr>
            <w:tcW w:w="30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0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50</w:t>
            </w:r>
          </w:p>
        </w:tc>
        <w:tc>
          <w:tcPr>
            <w:tcW w:w="4636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sz w:val="24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TAKE-TWO INTERACTIVE SOFTWARE, INC.   |   2026</w:t>
            </w:r>
            <w:r>
              <w:rPr>
                <w:caps w:val="false"/>
                <w:smallCaps w:val="false"/>
                <w:strike w:val="false"/>
                <w:dstrike w:val="false"/>
                <w:color w:val="18333C"/>
                <w:sz w:val="24"/>
                <w:u w:val="none"/>
                <w:effect w:val="none"/>
              </w:rPr>
              <w:t xml:space="preserve"> 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Proxy Statement</w:t>
            </w:r>
          </w:p>
        </w:tc>
      </w:tr>
    </w:tbl>
    <w:p>
      <w:pPr>
        <w:pStyle w:val="TextBody"/>
        <w:bidi w:val="0"/>
        <w:spacing w:lineRule="atLeast" w:line="142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3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3"/>
          <w:u w:val="none"/>
          <w:effect w:val="none"/>
        </w:rPr>
        <w:t>EXECUTIVE COMPENSATION</w:t>
      </w:r>
    </w:p>
    <w:p>
      <w:pPr>
        <w:pStyle w:val="TextBody"/>
        <w:bidi w:val="0"/>
        <w:spacing w:lineRule="atLeast" w:line="142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2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2"/>
          <w:u w:val="none"/>
          <w:effect w:val="none"/>
        </w:rPr>
        <w:t>GRANTS OF PLAN-BASED AWARDS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4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24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24"/>
          <w:u w:val="none"/>
          <w:effect w:val="none"/>
        </w:rPr>
        <w:t>Grants of Plan-Based Awards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The following table sets forth information concerning awards under the Company’s equity and non-equity incentive plans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 xml:space="preserve">granted to each of the NEOs during fiscal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2026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, including performance-based awards and those using time-based vesting.</w:t>
      </w:r>
      <w:r>
        <w:rPr>
          <w:caps w:val="false"/>
          <w:smallCaps w:val="false"/>
          <w:sz w:val="24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Assumptions used in the calculation of certain dollar amounts are included in Note 16 to the Company’s audited consolidated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 xml:space="preserve">financial statements included in the Company’s Annual Report on Form 10-K for fiscal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2026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.</w:t>
      </w:r>
    </w:p>
    <w:tbl>
      <w:tblPr>
        <w:tblW w:w="9600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456"/>
        <w:gridCol w:w="736"/>
        <w:gridCol w:w="826"/>
        <w:gridCol w:w="841"/>
        <w:gridCol w:w="826"/>
        <w:gridCol w:w="826"/>
        <w:gridCol w:w="109"/>
        <w:gridCol w:w="841"/>
        <w:gridCol w:w="601"/>
        <w:gridCol w:w="811"/>
        <w:gridCol w:w="856"/>
        <w:gridCol w:w="871"/>
      </w:tblGrid>
      <w:tr>
        <w:trPr/>
        <w:tc>
          <w:tcPr>
            <w:tcW w:w="145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45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493" w:type="dxa"/>
            <w:gridSpan w:val="3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5"/>
                <w:u w:val="none"/>
                <w:effect w:val="none"/>
              </w:rPr>
              <w:t>Estimated Future Payouts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5"/>
                <w:u w:val="none"/>
                <w:effect w:val="none"/>
              </w:rPr>
              <w:t>Under Non-Equity Incentive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/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5"/>
                <w:u w:val="none"/>
                <w:effect w:val="none"/>
              </w:rPr>
              <w:t>Plan Awards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0"/>
                <w:u w:val="none"/>
                <w:effect w:val="none"/>
              </w:rPr>
              <w:t>(1)</w:t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253" w:type="dxa"/>
            <w:gridSpan w:val="3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5"/>
                <w:u w:val="none"/>
                <w:effect w:val="none"/>
              </w:rPr>
              <w:t>Estimated Future Payouts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5"/>
                <w:u w:val="none"/>
                <w:effect w:val="none"/>
              </w:rPr>
              <w:t>Under Equity Incentive Plan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/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5"/>
                <w:u w:val="none"/>
                <w:effect w:val="none"/>
              </w:rPr>
              <w:t>Awards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0"/>
                <w:u w:val="none"/>
                <w:effect w:val="none"/>
              </w:rPr>
              <w:t>(2)</w:t>
            </w:r>
          </w:p>
        </w:tc>
        <w:tc>
          <w:tcPr>
            <w:tcW w:w="856" w:type="dxa"/>
            <w:vMerge w:val="restart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5"/>
                <w:u w:val="none"/>
                <w:effect w:val="none"/>
              </w:rPr>
              <w:t>All Other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5"/>
                <w:u w:val="none"/>
                <w:effect w:val="none"/>
              </w:rPr>
              <w:t>Stock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5"/>
                <w:u w:val="none"/>
                <w:effect w:val="none"/>
              </w:rPr>
              <w:t>Awards: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5"/>
                <w:u w:val="none"/>
                <w:effect w:val="none"/>
              </w:rPr>
              <w:t>Number of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5"/>
                <w:u w:val="none"/>
                <w:effect w:val="none"/>
              </w:rPr>
              <w:t>Shares of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5"/>
                <w:u w:val="none"/>
                <w:effect w:val="none"/>
              </w:rPr>
              <w:t>Stock or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/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5"/>
                <w:u w:val="none"/>
                <w:effect w:val="none"/>
              </w:rPr>
              <w:t>Units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0"/>
                <w:u w:val="none"/>
                <w:effect w:val="none"/>
              </w:rPr>
              <w:t>(2)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5"/>
                <w:u w:val="none"/>
                <w:effect w:val="none"/>
              </w:rPr>
              <w:t>(#)</w:t>
            </w:r>
          </w:p>
        </w:tc>
        <w:tc>
          <w:tcPr>
            <w:tcW w:w="871" w:type="dxa"/>
            <w:vMerge w:val="restart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5"/>
                <w:u w:val="none"/>
                <w:effect w:val="none"/>
              </w:rPr>
              <w:t>Grant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5"/>
                <w:u w:val="none"/>
                <w:effect w:val="none"/>
              </w:rPr>
              <w:t>Date Fair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5"/>
                <w:u w:val="none"/>
                <w:effect w:val="none"/>
              </w:rPr>
              <w:t>Value of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5"/>
                <w:u w:val="none"/>
                <w:effect w:val="none"/>
              </w:rPr>
              <w:t>Stock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5"/>
                <w:u w:val="none"/>
                <w:effect w:val="none"/>
              </w:rPr>
              <w:t>Awards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/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5"/>
                <w:u w:val="none"/>
                <w:effect w:val="none"/>
              </w:rPr>
              <w:t>($)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0"/>
                <w:u w:val="none"/>
                <w:effect w:val="none"/>
              </w:rPr>
              <w:t>(4)</w:t>
            </w:r>
          </w:p>
        </w:tc>
      </w:tr>
      <w:tr>
        <w:trPr/>
        <w:tc>
          <w:tcPr>
            <w:tcW w:w="1456" w:type="dxa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5"/>
                <w:u w:val="none"/>
                <w:effect w:val="none"/>
              </w:rPr>
              <w:t>Name</w:t>
            </w:r>
          </w:p>
        </w:tc>
        <w:tc>
          <w:tcPr>
            <w:tcW w:w="736" w:type="dxa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5"/>
                <w:u w:val="none"/>
                <w:effect w:val="none"/>
              </w:rPr>
              <w:t>Grant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5"/>
                <w:u w:val="none"/>
                <w:effect w:val="none"/>
              </w:rPr>
              <w:t>Date</w:t>
            </w:r>
          </w:p>
        </w:tc>
        <w:tc>
          <w:tcPr>
            <w:tcW w:w="826" w:type="dxa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5"/>
                <w:u w:val="none"/>
                <w:effect w:val="none"/>
              </w:rPr>
              <w:t>Approval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5"/>
                <w:u w:val="none"/>
                <w:effect w:val="none"/>
              </w:rPr>
              <w:t>Date</w:t>
            </w:r>
          </w:p>
        </w:tc>
        <w:tc>
          <w:tcPr>
            <w:tcW w:w="841" w:type="dxa"/>
            <w:tcBorders>
              <w:top w:val="single" w:sz="4" w:space="0" w:color="18333C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5"/>
                <w:u w:val="none"/>
                <w:effect w:val="none"/>
              </w:rPr>
              <w:t>Threshold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5"/>
                <w:u w:val="none"/>
                <w:effect w:val="none"/>
              </w:rPr>
              <w:t>($)</w:t>
            </w:r>
          </w:p>
        </w:tc>
        <w:tc>
          <w:tcPr>
            <w:tcW w:w="826" w:type="dxa"/>
            <w:tcBorders>
              <w:top w:val="single" w:sz="4" w:space="0" w:color="18333C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5"/>
                <w:u w:val="none"/>
                <w:effect w:val="none"/>
              </w:rPr>
              <w:t>Target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5"/>
                <w:u w:val="none"/>
                <w:effect w:val="none"/>
              </w:rPr>
              <w:t>($)</w:t>
            </w:r>
          </w:p>
        </w:tc>
        <w:tc>
          <w:tcPr>
            <w:tcW w:w="826" w:type="dxa"/>
            <w:tcBorders>
              <w:top w:val="single" w:sz="4" w:space="0" w:color="18333C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5"/>
                <w:u w:val="none"/>
                <w:effect w:val="none"/>
              </w:rPr>
              <w:t>Maximum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5"/>
                <w:u w:val="none"/>
                <w:effect w:val="none"/>
              </w:rPr>
              <w:t>($)</w:t>
            </w:r>
          </w:p>
        </w:tc>
        <w:tc>
          <w:tcPr>
            <w:tcW w:w="109" w:type="dxa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1" w:type="dxa"/>
            <w:tcBorders>
              <w:top w:val="single" w:sz="4" w:space="0" w:color="18333C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5"/>
                <w:u w:val="none"/>
                <w:effect w:val="none"/>
              </w:rPr>
              <w:t>Threshold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5"/>
                <w:u w:val="none"/>
                <w:effect w:val="none"/>
              </w:rPr>
              <w:t>(#)</w:t>
            </w:r>
          </w:p>
        </w:tc>
        <w:tc>
          <w:tcPr>
            <w:tcW w:w="601" w:type="dxa"/>
            <w:tcBorders>
              <w:top w:val="single" w:sz="4" w:space="0" w:color="18333C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5"/>
                <w:u w:val="none"/>
                <w:effect w:val="none"/>
              </w:rPr>
              <w:t>Target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5"/>
                <w:u w:val="none"/>
                <w:effect w:val="none"/>
              </w:rPr>
              <w:t>(#)</w:t>
            </w:r>
          </w:p>
        </w:tc>
        <w:tc>
          <w:tcPr>
            <w:tcW w:w="811" w:type="dxa"/>
            <w:tcBorders>
              <w:top w:val="single" w:sz="4" w:space="0" w:color="18333C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5"/>
                <w:u w:val="none"/>
                <w:effect w:val="none"/>
              </w:rPr>
              <w:t>Maximum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/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5"/>
                <w:u w:val="none"/>
                <w:effect w:val="none"/>
              </w:rPr>
              <w:t>(#)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0"/>
                <w:u w:val="none"/>
                <w:effect w:val="none"/>
              </w:rPr>
              <w:t>(3)</w:t>
            </w:r>
          </w:p>
        </w:tc>
        <w:tc>
          <w:tcPr>
            <w:tcW w:w="856" w:type="dxa"/>
            <w:vMerge w:val="continue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71" w:type="dxa"/>
            <w:vMerge w:val="continue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456" w:type="dxa"/>
            <w:tcBorders>
              <w:top w:val="single" w:sz="4" w:space="0" w:color="18333C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Strauss Zelnick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sz w:val="10"/>
                <w:u w:val="none"/>
                <w:effect w:val="none"/>
              </w:rPr>
              <w:t>(5)</w:t>
            </w:r>
          </w:p>
        </w:tc>
        <w:tc>
          <w:tcPr>
            <w:tcW w:w="736" w:type="dxa"/>
            <w:tcBorders>
              <w:top w:val="single" w:sz="4" w:space="0" w:color="18333C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826" w:type="dxa"/>
            <w:tcBorders>
              <w:top w:val="single" w:sz="4" w:space="0" w:color="18333C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841" w:type="dxa"/>
            <w:tcBorders>
              <w:top w:val="single" w:sz="4" w:space="0" w:color="18333C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826" w:type="dxa"/>
            <w:tcBorders>
              <w:top w:val="single" w:sz="4" w:space="0" w:color="18333C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826" w:type="dxa"/>
            <w:tcBorders>
              <w:top w:val="single" w:sz="4" w:space="0" w:color="18333C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>
              <w:top w:val="single" w:sz="4" w:space="0" w:color="18333C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1" w:type="dxa"/>
            <w:tcBorders>
              <w:top w:val="single" w:sz="4" w:space="0" w:color="18333C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601" w:type="dxa"/>
            <w:tcBorders>
              <w:top w:val="single" w:sz="4" w:space="0" w:color="18333C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811" w:type="dxa"/>
            <w:tcBorders>
              <w:top w:val="single" w:sz="4" w:space="0" w:color="18333C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856" w:type="dxa"/>
            <w:tcBorders>
              <w:top w:val="single" w:sz="4" w:space="0" w:color="18333C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871" w:type="dxa"/>
            <w:tcBorders>
              <w:top w:val="single" w:sz="4" w:space="0" w:color="18333C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</w:tr>
      <w:tr>
        <w:trPr/>
        <w:tc>
          <w:tcPr>
            <w:tcW w:w="1456" w:type="dxa"/>
            <w:vMerge w:val="restart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Lainie Goldstein</w:t>
            </w:r>
          </w:p>
        </w:tc>
        <w:tc>
          <w:tcPr>
            <w:tcW w:w="73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6/1/2025</w:t>
            </w:r>
          </w:p>
        </w:tc>
        <w:tc>
          <w:tcPr>
            <w:tcW w:w="82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5/29/2025</w:t>
            </w:r>
          </w:p>
        </w:tc>
        <w:tc>
          <w:tcPr>
            <w:tcW w:w="841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82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82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1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601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18,089</w:t>
            </w:r>
          </w:p>
        </w:tc>
        <w:tc>
          <w:tcPr>
            <w:tcW w:w="811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36,178</w:t>
            </w:r>
          </w:p>
        </w:tc>
        <w:tc>
          <w:tcPr>
            <w:tcW w:w="85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871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5,238,912</w:t>
            </w:r>
          </w:p>
        </w:tc>
      </w:tr>
      <w:tr>
        <w:trPr/>
        <w:tc>
          <w:tcPr>
            <w:tcW w:w="1456" w:type="dxa"/>
            <w:vMerge w:val="continue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3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6/1/2025</w:t>
            </w:r>
          </w:p>
        </w:tc>
        <w:tc>
          <w:tcPr>
            <w:tcW w:w="82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5/29/2025</w:t>
            </w:r>
          </w:p>
        </w:tc>
        <w:tc>
          <w:tcPr>
            <w:tcW w:w="841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82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82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1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601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811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85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9,045</w:t>
            </w:r>
          </w:p>
        </w:tc>
        <w:tc>
          <w:tcPr>
            <w:tcW w:w="871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2,046,703</w:t>
            </w:r>
          </w:p>
        </w:tc>
      </w:tr>
      <w:tr>
        <w:trPr/>
        <w:tc>
          <w:tcPr>
            <w:tcW w:w="1456" w:type="dxa"/>
            <w:vMerge w:val="continue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3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82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841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82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1,500,000</w:t>
            </w:r>
          </w:p>
        </w:tc>
        <w:tc>
          <w:tcPr>
            <w:tcW w:w="82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3,000,000</w:t>
            </w:r>
          </w:p>
        </w:tc>
        <w:tc>
          <w:tcPr>
            <w:tcW w:w="109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1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601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811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85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871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</w:tr>
      <w:tr>
        <w:trPr/>
        <w:tc>
          <w:tcPr>
            <w:tcW w:w="145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sz w:val="16"/>
                <w:u w:val="none"/>
                <w:effect w:val="none"/>
              </w:rPr>
              <w:t>Karl Slatoff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sz w:val="10"/>
                <w:u w:val="none"/>
                <w:effect w:val="none"/>
              </w:rPr>
              <w:t>(5)</w:t>
            </w:r>
          </w:p>
        </w:tc>
        <w:tc>
          <w:tcPr>
            <w:tcW w:w="73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82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841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82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82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1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601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811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85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871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</w:tr>
      <w:tr>
        <w:trPr/>
        <w:tc>
          <w:tcPr>
            <w:tcW w:w="1456" w:type="dxa"/>
            <w:vMerge w:val="restart"/>
            <w:tcBorders>
              <w:top w:val="single" w:sz="2" w:space="0" w:color="8C8D8F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Daniel Emerson</w:t>
            </w:r>
          </w:p>
        </w:tc>
        <w:tc>
          <w:tcPr>
            <w:tcW w:w="73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6/1/2025</w:t>
            </w:r>
          </w:p>
        </w:tc>
        <w:tc>
          <w:tcPr>
            <w:tcW w:w="82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5/29/2025</w:t>
            </w:r>
          </w:p>
        </w:tc>
        <w:tc>
          <w:tcPr>
            <w:tcW w:w="841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82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82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1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601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12,414</w:t>
            </w:r>
          </w:p>
        </w:tc>
        <w:tc>
          <w:tcPr>
            <w:tcW w:w="811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24,828</w:t>
            </w:r>
          </w:p>
        </w:tc>
        <w:tc>
          <w:tcPr>
            <w:tcW w:w="85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871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3,595,354</w:t>
            </w:r>
          </w:p>
        </w:tc>
      </w:tr>
      <w:tr>
        <w:trPr/>
        <w:tc>
          <w:tcPr>
            <w:tcW w:w="1456" w:type="dxa"/>
            <w:vMerge w:val="continue"/>
            <w:tcBorders>
              <w:top w:val="single" w:sz="2" w:space="0" w:color="8C8D8F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3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6/1/2025</w:t>
            </w:r>
          </w:p>
        </w:tc>
        <w:tc>
          <w:tcPr>
            <w:tcW w:w="82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5/29/2025</w:t>
            </w:r>
          </w:p>
        </w:tc>
        <w:tc>
          <w:tcPr>
            <w:tcW w:w="841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82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82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9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1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601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811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85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6,207</w:t>
            </w:r>
          </w:p>
        </w:tc>
        <w:tc>
          <w:tcPr>
            <w:tcW w:w="871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1,404,520</w:t>
            </w:r>
          </w:p>
        </w:tc>
      </w:tr>
      <w:tr>
        <w:trPr/>
        <w:tc>
          <w:tcPr>
            <w:tcW w:w="1456" w:type="dxa"/>
            <w:vMerge w:val="continue"/>
            <w:tcBorders>
              <w:top w:val="single" w:sz="2" w:space="0" w:color="8C8D8F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36" w:type="dxa"/>
            <w:tcBorders>
              <w:top w:val="single" w:sz="2" w:space="0" w:color="8C8D8F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826" w:type="dxa"/>
            <w:tcBorders>
              <w:top w:val="single" w:sz="2" w:space="0" w:color="8C8D8F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841" w:type="dxa"/>
            <w:tcBorders>
              <w:top w:val="single" w:sz="2" w:space="0" w:color="8C8D8F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826" w:type="dxa"/>
            <w:tcBorders>
              <w:top w:val="single" w:sz="2" w:space="0" w:color="8C8D8F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1,062,500</w:t>
            </w:r>
          </w:p>
        </w:tc>
        <w:tc>
          <w:tcPr>
            <w:tcW w:w="826" w:type="dxa"/>
            <w:tcBorders>
              <w:top w:val="single" w:sz="2" w:space="0" w:color="8C8D8F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2,125,000</w:t>
            </w:r>
          </w:p>
        </w:tc>
        <w:tc>
          <w:tcPr>
            <w:tcW w:w="109" w:type="dxa"/>
            <w:tcBorders>
              <w:top w:val="single" w:sz="2" w:space="0" w:color="8C8D8F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1" w:type="dxa"/>
            <w:tcBorders>
              <w:top w:val="single" w:sz="2" w:space="0" w:color="8C8D8F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601" w:type="dxa"/>
            <w:tcBorders>
              <w:top w:val="single" w:sz="2" w:space="0" w:color="8C8D8F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811" w:type="dxa"/>
            <w:tcBorders>
              <w:top w:val="single" w:sz="2" w:space="0" w:color="8C8D8F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856" w:type="dxa"/>
            <w:tcBorders>
              <w:top w:val="single" w:sz="2" w:space="0" w:color="8C8D8F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871" w:type="dxa"/>
            <w:tcBorders>
              <w:top w:val="single" w:sz="2" w:space="0" w:color="8C8D8F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</w:tr>
    </w:tbl>
    <w:p>
      <w:pPr>
        <w:pStyle w:val="TextBody"/>
        <w:bidi w:val="0"/>
        <w:spacing w:lineRule="atLeast" w:line="142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(1)Represents cash performance bonus opportunities ranging from 0% to 300% of base salary for Ms. Goldstein and from 0% to 250% of base salary for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42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Mr. Emerson. There is no set minimum payout amount. See “Compensation Discussion and Analysis—Annual Cash Incentive.”</w:t>
      </w:r>
    </w:p>
    <w:p>
      <w:pPr>
        <w:pStyle w:val="TextBody"/>
        <w:bidi w:val="0"/>
        <w:spacing w:lineRule="atLeast" w:line="142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(2)For Ms. Goldstein and Mr. Emerson, 66.7% of the RSUs vest 100% on the third anniversary of the grant date, subject to the satisfaction of certain performance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42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criteria based on (i) the Company’s TSR performance measured against the Nasdaq 100 Index, with respect to 75% of such RSUs, and (ii) the Company’s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42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RCS performance, with respect to 25% of such RSUs, in each case over a period of approximately three (3) years. The remaining 33.3% of the RSUs vest 25%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42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on June 1, 2026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and thereafter in 12 equal quarterly installments commencing on September 1, 2026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based on the NEO’s continued service with the Company.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42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There is no set minimum payout amount.</w:t>
      </w:r>
    </w:p>
    <w:p>
      <w:pPr>
        <w:pStyle w:val="TextBody"/>
        <w:bidi w:val="0"/>
        <w:spacing w:lineRule="atLeast" w:line="142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(3)Represents the maximum shares of performance-based RSUs. Such RSUs will vest, if at all, 100% on June 1, 2028.</w:t>
      </w:r>
    </w:p>
    <w:p>
      <w:pPr>
        <w:pStyle w:val="TextBody"/>
        <w:bidi w:val="0"/>
        <w:spacing w:lineRule="atLeast" w:line="142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(4)These amounts are valued based on the aggregate grant date fair market value of the award. For additional information with respect to stock awards granted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42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during fiscal 2026, see Note 16 under the heading “Stock-Based Compensation” of the Notes to Consolidated Financial Statements included in the Company’s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42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Annual Report on Form 10-K for fiscal 2026. The grant date fair value of equity incentive plan awards that are subject to performance-based vesting conditions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42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is based upon the probable outcome of such conditions. All amounts reflect the grant date fair value for these awards, excluding the accounting effect of any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42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estimate of future service-based forfeitures, and do not necessarily correspond to the actual value that might be realized by the NEOs.</w:t>
      </w:r>
    </w:p>
    <w:p>
      <w:pPr>
        <w:pStyle w:val="TextBody"/>
        <w:bidi w:val="0"/>
        <w:spacing w:lineRule="atLeast" w:line="142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(5)Messrs. Zelnick and Slatoff have not received cash performance bonuses or grants of restricted stock, RSUs or option awards. Messrs. Zelnick and Slatoff are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42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partners in ZMC, to which the Company has paid cash performance bonuses and has previously granted restricted stock, RSUs and options pursuant to the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42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ZMC Management Agreement. At target, 67% of equity awards to ZMC for our CEO and President are conditioned on the achievement of relative TSR and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42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RCS goals measured over a three-year performance period. At maximum, 80% of their equity awards are similarly linked to performance. For information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42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regarding the grants and cash performance bonuses made to ZMC, see “Certain Relationships and Related Transactions—Management Agreement.”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4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24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24"/>
          <w:u w:val="none"/>
          <w:effect w:val="none"/>
        </w:rPr>
        <w:t>Narrative Disclosure Regarding Equity Plans and Employment Agreements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B0295B"/>
          <w:sz w:val="20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B0295B"/>
          <w:sz w:val="20"/>
          <w:u w:val="none"/>
          <w:effect w:val="none"/>
        </w:rPr>
        <w:t>2017 Stock Incentive Plan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The 2017 Plan was originally approved by shareholders on September 15, 2017. The Plan permits the Company to grant stock-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based incentive compensation awards to eligible employees (including officers), non-employee directors and consultants in the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form of stock options, stock appreciation rights, restricted stock, restricted stock units and other stock-based awards.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The 2017 Plan initially authorized 7,603,745 shares of common stock for issuance, subject to certain recycling and adjustment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provisions. In addition, shares subject to awards assumed or substituted in connection with corporate transactions and awards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settled solely in cash generally do not count against the share Plan reserve. Since its adoption, the 2017 Plan has been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amended periodically with shareholder approval, including increases to the share reserve in 2020, 2021, 2023 and 2025.</w:t>
      </w:r>
    </w:p>
    <w:tbl>
      <w:tblPr>
        <w:tblW w:w="4982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4651"/>
        <w:gridCol w:w="331"/>
      </w:tblGrid>
      <w:tr>
        <w:trPr/>
        <w:tc>
          <w:tcPr>
            <w:tcW w:w="46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651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sz w:val="24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TAKE-TWO INTERACTIVE SOFTWARE, INC.   |   2026</w:t>
            </w:r>
            <w:r>
              <w:rPr>
                <w:caps w:val="false"/>
                <w:smallCaps w:val="false"/>
                <w:strike w:val="false"/>
                <w:dstrike w:val="false"/>
                <w:color w:val="18333C"/>
                <w:sz w:val="24"/>
                <w:u w:val="none"/>
                <w:effect w:val="none"/>
              </w:rPr>
              <w:t xml:space="preserve"> 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 xml:space="preserve">Proxy Statement </w:t>
            </w:r>
          </w:p>
        </w:tc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51</w:t>
            </w:r>
          </w:p>
        </w:tc>
      </w:tr>
    </w:tbl>
    <w:p>
      <w:pPr>
        <w:pStyle w:val="TextBody"/>
        <w:bidi w:val="0"/>
        <w:spacing w:lineRule="atLeast" w:line="142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3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3"/>
          <w:u w:val="none"/>
          <w:effect w:val="none"/>
        </w:rPr>
        <w:t>EXECUTIVE COMPENSATION</w:t>
      </w:r>
    </w:p>
    <w:p>
      <w:pPr>
        <w:pStyle w:val="TextBody"/>
        <w:bidi w:val="0"/>
        <w:spacing w:lineRule="atLeast" w:line="142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2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2"/>
          <w:u w:val="none"/>
          <w:effect w:val="none"/>
        </w:rPr>
        <w:t>NARRATIVE DISCLOSURE REGARDING EQUITY PLANS AND EMPLOYMENT AGREEMENTS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B0295B"/>
          <w:sz w:val="20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B0295B"/>
          <w:sz w:val="20"/>
          <w:u w:val="none"/>
          <w:effect w:val="none"/>
        </w:rPr>
        <w:t>2017 Global Employee Stock Purchase Plan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The Take-Two Interactive Software, Inc. Second Amended and Restated 2017 Global Employee Stock Purchase Plan (the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caps w:val="false"/>
          <w:smallCaps w:val="false"/>
          <w:strike w:val="false"/>
          <w:dstrike w:val="false"/>
          <w:u w:val="none"/>
          <w:effect w:val="none"/>
        </w:rPr>
        <w:t>“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2017 Global ESPP”) was approved by shareholders on September 15, 2017 and became effective on May 1, 2018. The 2017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Global ESPP provides eligible employees of the Company and certain designated subsidiaries and affiliates with an opportunity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to acquire an ownership interest in the Company through the purchase of common stock. The Plan includes sub-plans for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employees outside the United States to accommodate local legal, tax and regulatory requirements. Subject to adjustment for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certain changes in recapitalization or reorganization, up to 9,000,000 shares of common stock may be issued under the 2017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Global ESPP.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B0295B"/>
          <w:sz w:val="20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B0295B"/>
          <w:sz w:val="20"/>
          <w:u w:val="none"/>
          <w:effect w:val="none"/>
        </w:rPr>
        <w:t>Employment Agreements</w:t>
      </w:r>
    </w:p>
    <w:p>
      <w:pPr>
        <w:pStyle w:val="TextBody"/>
        <w:bidi w:val="0"/>
        <w:spacing w:lineRule="atLeast" w:line="19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64BFA6"/>
          <w:sz w:val="19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64BFA6"/>
          <w:sz w:val="19"/>
          <w:u w:val="none"/>
          <w:effect w:val="none"/>
        </w:rPr>
        <w:t>Lainie Goldstein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Ms. Goldstein serves as Chief Financial Officer pursuant to an employment agreement with the Company, originally entered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into on May 12, 2010, and subsequently amended.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Pursuant to the employment agreement, Ms. Goldstein will continue to serve as Chief Financial Officer of the Company until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March 31, 2027, and thereafter for successive one-year periods until either party elects not to renew the term of the agreement.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On May 17, 2018, the Company entered into a third amendment to its employment agreement with Ms. Goldstein to extend the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term of the agreement through March 31, 2023. In connection with this amendment, effective as of April 1, 2018,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Ms. Goldstein’s base salary was increased to $850,000 with no automatic, annual cost of living increases, but subject to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increase from time to time, as determined by the Company. Such third amendment also provides that Ms. Goldstein will also be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eligible to receive an annual bonus during each fiscal year of her employment at target in the amount of 100% of her base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salary, based on the achievement of certain financial targets by the Company, as set forth in the employment agreement.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Additionally, Ms. Goldstein is eligible to participate in the Company’s long-term incentive compensation program. Based, in part,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on peer benchmarking, as well as Ms. Goldstein’s strong individual performance and value to the organization as a key senior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leader, on May 24, 2022, the Compensation Committee approved, for fiscal 2023, effective April 1, 2022, an increase to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Ms. Goldstein’s (i) base salary to $1,000,000 and (ii) target annual bonus to 150% of her base salary. Ms. Goldstein’s base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salary and target annual bonus remained the same for fiscal 2024, fiscal 2025 and fiscal 2026, and remain the same for fiscal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2027.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The employment agreement also provides for certain severance benefits upon termination by the Company without cause or in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connection with a change in control. For more information regarding these severance and change in control benefits, please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refer to “Potential Payments Upon Termination or Change in Control” below.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Ms. Goldstein has agreed not to compete with the Company or solicit any of the Company’s customers or personnel during her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employment and for one year following any termination of her employment, all on the terms set forth in the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employment agreement.</w:t>
      </w:r>
    </w:p>
    <w:p>
      <w:pPr>
        <w:pStyle w:val="TextBody"/>
        <w:bidi w:val="0"/>
        <w:spacing w:lineRule="atLeast" w:line="19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64BFA6"/>
          <w:sz w:val="19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64BFA6"/>
          <w:sz w:val="19"/>
          <w:u w:val="none"/>
          <w:effect w:val="none"/>
        </w:rPr>
        <w:t>Karl Slatoff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On February 14, 2008, the Company entered into an employment agreement with Mr. Slatoff, pursuant to which Mr. Slatoff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initially served as Executive Vice President. Effective October 25, 2010, Mr. Slatoff was named to the role of Chief Operating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Officer. Effective May 1, 2013, Mr. Slatoff was appointed to the newly created role of President. Pursuant to the agreement, Mr.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Slatoff will continue to serve as President until termination of the 2022 Management Agreement, unless earlier terminated upon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his death or resignation, or by the Board of Directors for any reason. Pursuant to the terms of the employment agreement,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Mr. Slatoff receives an annual salary of $1.00. Additionally, Mr. Slatoff is eligible to participate in all benefits and plans which the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Company may institute from time to time for its executive officers and employees (other than the 401(k) savings plan). The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employment agreement with Mr. Slatoff provides that he is not entitled to receive an annual bonus from the Company. The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employment agreement does not provide for any continued obligations of the Company following a termination of Mr. Slatoff’s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employment other than continued indemnification rights and coverage under the Company’s directors’ and officers’ liability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insurance policies.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Mr. Slatoff has agreed not to compete with the Company, nor to solicit any of the Company’s customers or personnel during his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employment and for one year following his termination for “cause” or without “good reason,” all on the terms set forth in the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employment agreement.</w:t>
      </w:r>
    </w:p>
    <w:tbl>
      <w:tblPr>
        <w:tblW w:w="493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301"/>
        <w:gridCol w:w="4636"/>
      </w:tblGrid>
      <w:tr>
        <w:trPr/>
        <w:tc>
          <w:tcPr>
            <w:tcW w:w="30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0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52</w:t>
            </w:r>
          </w:p>
        </w:tc>
        <w:tc>
          <w:tcPr>
            <w:tcW w:w="4636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sz w:val="24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TAKE-TWO INTERACTIVE SOFTWARE, INC.   |   2026</w:t>
            </w:r>
            <w:r>
              <w:rPr>
                <w:caps w:val="false"/>
                <w:smallCaps w:val="false"/>
                <w:strike w:val="false"/>
                <w:dstrike w:val="false"/>
                <w:color w:val="18333C"/>
                <w:sz w:val="24"/>
                <w:u w:val="none"/>
                <w:effect w:val="none"/>
              </w:rPr>
              <w:t xml:space="preserve"> 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Proxy Statement</w:t>
            </w:r>
          </w:p>
        </w:tc>
      </w:tr>
    </w:tbl>
    <w:p>
      <w:pPr>
        <w:pStyle w:val="TextBody"/>
        <w:bidi w:val="0"/>
        <w:spacing w:lineRule="atLeast" w:line="142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3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3"/>
          <w:u w:val="none"/>
          <w:effect w:val="none"/>
        </w:rPr>
        <w:t>EXECUTIVE COMPENSATION</w:t>
      </w:r>
    </w:p>
    <w:p>
      <w:pPr>
        <w:pStyle w:val="TextBody"/>
        <w:bidi w:val="0"/>
        <w:spacing w:lineRule="atLeast" w:line="142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2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2"/>
          <w:u w:val="none"/>
          <w:effect w:val="none"/>
        </w:rPr>
        <w:t>OUTSTANDING EQUITY AWARDS AT FISCAL YEAR-END</w:t>
      </w:r>
    </w:p>
    <w:p>
      <w:pPr>
        <w:pStyle w:val="TextBody"/>
        <w:bidi w:val="0"/>
        <w:spacing w:lineRule="atLeast" w:line="19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64BFA6"/>
          <w:sz w:val="19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64BFA6"/>
          <w:sz w:val="19"/>
          <w:u w:val="none"/>
          <w:effect w:val="none"/>
        </w:rPr>
        <w:t>Daniel Emerson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Mr. Emerson serves as Executive Vice President and Chief Legal Officer pursuant to an employment agreement between the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Company and Mr. Emerson, dated January 28, 2015, effective as of October 24, 2014. Pursuant to the employment agreement,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Mr. Emerson will continue to serve in this capacity until his employment is terminated by him or the Company in accordance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with the provisions of the employment agreement.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Pursuant to the terms of the employment agreement, Mr. Emerson received an annual base salary of $850,000 for fiscal 2026,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based, in part, on peer benchmarking, as well as Mr. Emerson’s strong individual performance and value to the organization as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a key senior leader. In fiscal 2026, Mr. Emerson was also eligible to receive an annual bonus at target in the amount of 125% of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his base salary, based on the achievement of certain financial targets by the Company. Additionally, Mr. Emerson is eligible to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participate in the Company’s long-term incentive compensation program. Mr. Emerson’s base salary and target annual bonus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remain the same for fiscal 2027.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The employment agreement also provides for certain severance benefits upon termination by the Company without cause or in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connection with a change in control. For more information regarding these severance and change in control benefits, please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refer to “Potential Payments Upon Termination or Change in Control” below.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Mr. Emerson has agreed not to solicit any of the Company’s customers or personnel during his employment and for one year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following any termination of his employment, all on the terms set forth in the employment agreement.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4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24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24"/>
          <w:u w:val="none"/>
          <w:effect w:val="none"/>
        </w:rPr>
        <w:t>Outstanding Equity Awards at Fiscal Year-End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 xml:space="preserve">The following table sets forth information concerning RSUs outstanding for each of the NEOs as of March 31,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2026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:</w:t>
      </w:r>
    </w:p>
    <w:tbl>
      <w:tblPr>
        <w:tblW w:w="7926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456"/>
        <w:gridCol w:w="1111"/>
        <w:gridCol w:w="961"/>
        <w:gridCol w:w="1231"/>
        <w:gridCol w:w="1456"/>
        <w:gridCol w:w="1711"/>
      </w:tblGrid>
      <w:tr>
        <w:trPr/>
        <w:tc>
          <w:tcPr>
            <w:tcW w:w="145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1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5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1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45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470" w:type="dxa"/>
            <w:gridSpan w:val="5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Stock Awards</w:t>
            </w:r>
          </w:p>
        </w:tc>
      </w:tr>
      <w:tr>
        <w:trPr/>
        <w:tc>
          <w:tcPr>
            <w:tcW w:w="1456" w:type="dxa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Name</w:t>
            </w:r>
          </w:p>
        </w:tc>
        <w:tc>
          <w:tcPr>
            <w:tcW w:w="1111" w:type="dxa"/>
            <w:tcBorders>
              <w:top w:val="single" w:sz="4" w:space="0" w:color="18333C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Stock Award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Grant Date</w:t>
            </w:r>
          </w:p>
        </w:tc>
        <w:tc>
          <w:tcPr>
            <w:tcW w:w="961" w:type="dxa"/>
            <w:tcBorders>
              <w:top w:val="single" w:sz="4" w:space="0" w:color="18333C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Number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of Shares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or Units of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Stock That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Have Not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Vested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(#)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0"/>
                <w:u w:val="none"/>
                <w:effect w:val="none"/>
              </w:rPr>
              <w:t>(1)</w:t>
            </w:r>
          </w:p>
        </w:tc>
        <w:tc>
          <w:tcPr>
            <w:tcW w:w="1231" w:type="dxa"/>
            <w:tcBorders>
              <w:top w:val="single" w:sz="4" w:space="0" w:color="18333C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Market Value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of Shares or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Units of Stock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That Have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Not Vested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($)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0"/>
                <w:u w:val="none"/>
                <w:effect w:val="none"/>
              </w:rPr>
              <w:t>(2)</w:t>
            </w:r>
          </w:p>
        </w:tc>
        <w:tc>
          <w:tcPr>
            <w:tcW w:w="1456" w:type="dxa"/>
            <w:tcBorders>
              <w:top w:val="single" w:sz="4" w:space="0" w:color="18333C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Equity Incentive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Plan Awards: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Number of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Unearned Shares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or Units of Stock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That Have Not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Vested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(#)</w:t>
            </w:r>
          </w:p>
        </w:tc>
        <w:tc>
          <w:tcPr>
            <w:tcW w:w="1711" w:type="dxa"/>
            <w:tcBorders>
              <w:top w:val="single" w:sz="4" w:space="0" w:color="18333C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Equity Incentive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Plan Awards: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Market Value of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Unearned Shares or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Units of Stock That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Have Not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Vested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($)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0"/>
                <w:u w:val="none"/>
                <w:effect w:val="none"/>
              </w:rPr>
              <w:t>(2)</w:t>
            </w:r>
          </w:p>
        </w:tc>
      </w:tr>
      <w:tr>
        <w:trPr/>
        <w:tc>
          <w:tcPr>
            <w:tcW w:w="1456" w:type="dxa"/>
            <w:tcBorders>
              <w:top w:val="single" w:sz="4" w:space="0" w:color="18333C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/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sz w:val="17"/>
                <w:u w:val="none"/>
                <w:effect w:val="none"/>
              </w:rPr>
              <w:t>Strauss Zelnick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sz w:val="11"/>
                <w:u w:val="none"/>
                <w:effect w:val="none"/>
              </w:rPr>
              <w:t>(3)</w:t>
            </w:r>
          </w:p>
        </w:tc>
        <w:tc>
          <w:tcPr>
            <w:tcW w:w="1111" w:type="dxa"/>
            <w:tcBorders>
              <w:top w:val="single" w:sz="4" w:space="0" w:color="18333C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961" w:type="dxa"/>
            <w:tcBorders>
              <w:top w:val="single" w:sz="4" w:space="0" w:color="18333C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231" w:type="dxa"/>
            <w:tcBorders>
              <w:top w:val="single" w:sz="4" w:space="0" w:color="18333C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456" w:type="dxa"/>
            <w:tcBorders>
              <w:top w:val="single" w:sz="4" w:space="0" w:color="18333C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711" w:type="dxa"/>
            <w:tcBorders>
              <w:top w:val="single" w:sz="4" w:space="0" w:color="18333C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</w:tr>
      <w:tr>
        <w:trPr/>
        <w:tc>
          <w:tcPr>
            <w:tcW w:w="1456" w:type="dxa"/>
            <w:vMerge w:val="restart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Lainie Goldstein</w:t>
            </w:r>
          </w:p>
        </w:tc>
        <w:tc>
          <w:tcPr>
            <w:tcW w:w="1111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6/1/2025</w:t>
            </w:r>
          </w:p>
        </w:tc>
        <w:tc>
          <w:tcPr>
            <w:tcW w:w="961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9,045</w:t>
            </w:r>
          </w:p>
        </w:tc>
        <w:tc>
          <w:tcPr>
            <w:tcW w:w="1231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1,786,388</w:t>
            </w:r>
          </w:p>
        </w:tc>
        <w:tc>
          <w:tcPr>
            <w:tcW w:w="145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36,178</w:t>
            </w:r>
          </w:p>
        </w:tc>
        <w:tc>
          <w:tcPr>
            <w:tcW w:w="1711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7,145,155</w:t>
            </w:r>
          </w:p>
        </w:tc>
      </w:tr>
      <w:tr>
        <w:trPr/>
        <w:tc>
          <w:tcPr>
            <w:tcW w:w="1456" w:type="dxa"/>
            <w:vMerge w:val="continue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111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6/1/2024</w:t>
            </w:r>
          </w:p>
        </w:tc>
        <w:tc>
          <w:tcPr>
            <w:tcW w:w="961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7,758</w:t>
            </w:r>
          </w:p>
        </w:tc>
        <w:tc>
          <w:tcPr>
            <w:tcW w:w="1231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1,532,205</w:t>
            </w:r>
          </w:p>
        </w:tc>
        <w:tc>
          <w:tcPr>
            <w:tcW w:w="145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55,244</w:t>
            </w:r>
          </w:p>
        </w:tc>
        <w:tc>
          <w:tcPr>
            <w:tcW w:w="1711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10,910,690</w:t>
            </w:r>
          </w:p>
        </w:tc>
      </w:tr>
      <w:tr>
        <w:trPr/>
        <w:tc>
          <w:tcPr>
            <w:tcW w:w="1456" w:type="dxa"/>
            <w:vMerge w:val="continue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111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6/1/2023</w:t>
            </w:r>
          </w:p>
        </w:tc>
        <w:tc>
          <w:tcPr>
            <w:tcW w:w="961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4,965</w:t>
            </w:r>
          </w:p>
        </w:tc>
        <w:tc>
          <w:tcPr>
            <w:tcW w:w="1231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980,588</w:t>
            </w:r>
          </w:p>
        </w:tc>
        <w:tc>
          <w:tcPr>
            <w:tcW w:w="145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63,640</w:t>
            </w:r>
          </w:p>
        </w:tc>
        <w:tc>
          <w:tcPr>
            <w:tcW w:w="1711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12,568,900</w:t>
            </w:r>
          </w:p>
        </w:tc>
      </w:tr>
      <w:tr>
        <w:trPr/>
        <w:tc>
          <w:tcPr>
            <w:tcW w:w="1456" w:type="dxa"/>
            <w:vMerge w:val="continue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111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6/1/2022</w:t>
            </w:r>
          </w:p>
        </w:tc>
        <w:tc>
          <w:tcPr>
            <w:tcW w:w="961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1,041</w:t>
            </w:r>
          </w:p>
        </w:tc>
        <w:tc>
          <w:tcPr>
            <w:tcW w:w="1231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205,598</w:t>
            </w:r>
          </w:p>
        </w:tc>
        <w:tc>
          <w:tcPr>
            <w:tcW w:w="145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711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</w:tr>
      <w:tr>
        <w:trPr/>
        <w:tc>
          <w:tcPr>
            <w:tcW w:w="145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/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sz w:val="17"/>
                <w:u w:val="none"/>
                <w:effect w:val="none"/>
              </w:rPr>
              <w:t>Karl Slatoff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sz w:val="11"/>
                <w:u w:val="none"/>
                <w:effect w:val="none"/>
              </w:rPr>
              <w:t>(3)</w:t>
            </w:r>
          </w:p>
        </w:tc>
        <w:tc>
          <w:tcPr>
            <w:tcW w:w="1111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961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231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45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711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</w:tr>
      <w:tr>
        <w:trPr/>
        <w:tc>
          <w:tcPr>
            <w:tcW w:w="1456" w:type="dxa"/>
            <w:tcBorders>
              <w:top w:val="single" w:sz="2" w:space="0" w:color="8C8D8F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Daniel Emerson</w:t>
            </w:r>
          </w:p>
        </w:tc>
        <w:tc>
          <w:tcPr>
            <w:tcW w:w="1111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6/1/2025</w:t>
            </w:r>
          </w:p>
        </w:tc>
        <w:tc>
          <w:tcPr>
            <w:tcW w:w="961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6,207</w:t>
            </w:r>
          </w:p>
        </w:tc>
        <w:tc>
          <w:tcPr>
            <w:tcW w:w="1231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1,225,883</w:t>
            </w:r>
          </w:p>
        </w:tc>
        <w:tc>
          <w:tcPr>
            <w:tcW w:w="145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24,828</w:t>
            </w:r>
          </w:p>
        </w:tc>
        <w:tc>
          <w:tcPr>
            <w:tcW w:w="1711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4,903,530</w:t>
            </w:r>
          </w:p>
        </w:tc>
      </w:tr>
      <w:tr>
        <w:trPr/>
        <w:tc>
          <w:tcPr>
            <w:tcW w:w="145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11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6/1/2024</w:t>
            </w:r>
          </w:p>
        </w:tc>
        <w:tc>
          <w:tcPr>
            <w:tcW w:w="961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5,325</w:t>
            </w:r>
          </w:p>
        </w:tc>
        <w:tc>
          <w:tcPr>
            <w:tcW w:w="1231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1,051,688</w:t>
            </w:r>
          </w:p>
        </w:tc>
        <w:tc>
          <w:tcPr>
            <w:tcW w:w="145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37,912</w:t>
            </w:r>
          </w:p>
        </w:tc>
        <w:tc>
          <w:tcPr>
            <w:tcW w:w="1711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7,487,620</w:t>
            </w:r>
          </w:p>
        </w:tc>
      </w:tr>
      <w:tr>
        <w:trPr/>
        <w:tc>
          <w:tcPr>
            <w:tcW w:w="145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11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6/1/2023</w:t>
            </w:r>
          </w:p>
        </w:tc>
        <w:tc>
          <w:tcPr>
            <w:tcW w:w="961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3,410</w:t>
            </w:r>
          </w:p>
        </w:tc>
        <w:tc>
          <w:tcPr>
            <w:tcW w:w="1231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673,475</w:t>
            </w:r>
          </w:p>
        </w:tc>
        <w:tc>
          <w:tcPr>
            <w:tcW w:w="145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43,674</w:t>
            </w:r>
          </w:p>
        </w:tc>
        <w:tc>
          <w:tcPr>
            <w:tcW w:w="1711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8,625,615</w:t>
            </w:r>
          </w:p>
        </w:tc>
      </w:tr>
      <w:tr>
        <w:trPr/>
        <w:tc>
          <w:tcPr>
            <w:tcW w:w="1456" w:type="dxa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11" w:type="dxa"/>
            <w:tcBorders>
              <w:top w:val="single" w:sz="2" w:space="0" w:color="8C8D8F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6/1/2022</w:t>
            </w:r>
          </w:p>
        </w:tc>
        <w:tc>
          <w:tcPr>
            <w:tcW w:w="961" w:type="dxa"/>
            <w:tcBorders>
              <w:top w:val="single" w:sz="2" w:space="0" w:color="8C8D8F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715</w:t>
            </w:r>
          </w:p>
        </w:tc>
        <w:tc>
          <w:tcPr>
            <w:tcW w:w="1231" w:type="dxa"/>
            <w:tcBorders>
              <w:top w:val="single" w:sz="2" w:space="0" w:color="8C8D8F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141,213</w:t>
            </w:r>
          </w:p>
        </w:tc>
        <w:tc>
          <w:tcPr>
            <w:tcW w:w="1456" w:type="dxa"/>
            <w:tcBorders>
              <w:top w:val="single" w:sz="2" w:space="0" w:color="8C8D8F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711" w:type="dxa"/>
            <w:tcBorders>
              <w:top w:val="single" w:sz="2" w:space="0" w:color="8C8D8F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</w:tr>
    </w:tbl>
    <w:p>
      <w:pPr>
        <w:pStyle w:val="TextBody"/>
        <w:bidi w:val="0"/>
        <w:spacing w:lineRule="atLeast" w:line="142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(1)Time-based awards and performance-based awards with respect to which the performance criteria have been satisfied, made under the 2017 Plan. The time-</w:t>
      </w:r>
    </w:p>
    <w:p>
      <w:pPr>
        <w:pStyle w:val="TextBody"/>
        <w:bidi w:val="0"/>
        <w:spacing w:lineRule="atLeast" w:line="142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based awards vest, subject to continuing employment, 25% on the anniversary of the grant date and thereafter in 12 equal quarterly installments commencing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42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on September 1st. The performance-based awards will vest, if at all, 100% on the third anniversary of the grant date.</w:t>
      </w:r>
    </w:p>
    <w:p>
      <w:pPr>
        <w:pStyle w:val="TextBody"/>
        <w:bidi w:val="0"/>
        <w:spacing w:lineRule="atLeast" w:line="142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(2)Value determined based on the closing price of the Company’s common stock of $197.50 on March 31, 2026, the final business day of fiscal 2026.</w:t>
      </w:r>
    </w:p>
    <w:p>
      <w:pPr>
        <w:pStyle w:val="TextBody"/>
        <w:bidi w:val="0"/>
        <w:spacing w:lineRule="atLeast" w:line="142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(3)Messrs. Zelnick and Slatoff have not received grants of stock or option awards. Messrs. Zelnick and Slatoff are partners in ZMC, to which the Company has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42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previously granted restricted stock, RSUs and options pursuant to the ZMC management agreements. Of these grants, no options or shares of restricted stock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42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remained outstanding and an aggregate of 726,835 time-based and performance-based RSUs (based on the target number of performance-based RSUs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42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eligible to vest) or 1,279,802 time-based and performance-based RSUs (based on the maximum number of performance-based RSUs eligible to vest)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42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remained unvested as of March 31, 2026. The value of the unvested RSUs based on the closing price of the common stock on March 31, 2026, was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42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$143,549,913 (based on the target number of performance-based RSUs eligible to vest) or $252,760,895 (based on the maximum number of performance-</w:t>
      </w:r>
    </w:p>
    <w:p>
      <w:pPr>
        <w:pStyle w:val="TextBody"/>
        <w:bidi w:val="0"/>
        <w:spacing w:lineRule="atLeast" w:line="142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based RSUs eligible to vest).</w:t>
      </w:r>
    </w:p>
    <w:tbl>
      <w:tblPr>
        <w:tblW w:w="4982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4651"/>
        <w:gridCol w:w="331"/>
      </w:tblGrid>
      <w:tr>
        <w:trPr/>
        <w:tc>
          <w:tcPr>
            <w:tcW w:w="46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651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sz w:val="24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TAKE-TWO INTERACTIVE SOFTWARE, INC.   |   2026</w:t>
            </w:r>
            <w:r>
              <w:rPr>
                <w:caps w:val="false"/>
                <w:smallCaps w:val="false"/>
                <w:strike w:val="false"/>
                <w:dstrike w:val="false"/>
                <w:color w:val="18333C"/>
                <w:sz w:val="24"/>
                <w:u w:val="none"/>
                <w:effect w:val="none"/>
              </w:rPr>
              <w:t xml:space="preserve"> 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 xml:space="preserve">Proxy Statement </w:t>
            </w:r>
          </w:p>
        </w:tc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53</w:t>
            </w:r>
          </w:p>
        </w:tc>
      </w:tr>
    </w:tbl>
    <w:p>
      <w:pPr>
        <w:pStyle w:val="TextBody"/>
        <w:bidi w:val="0"/>
        <w:spacing w:lineRule="atLeast" w:line="142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3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3"/>
          <w:u w:val="none"/>
          <w:effect w:val="none"/>
        </w:rPr>
        <w:t>EXECUTIVE COMPENSATION</w:t>
      </w:r>
    </w:p>
    <w:p>
      <w:pPr>
        <w:pStyle w:val="TextBody"/>
        <w:bidi w:val="0"/>
        <w:spacing w:lineRule="atLeast" w:line="142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2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2"/>
          <w:u w:val="none"/>
          <w:effect w:val="none"/>
        </w:rPr>
        <w:t>STOCK VESTED DURING FISCAL 2026</w:t>
      </w:r>
    </w:p>
    <w:p>
      <w:pPr>
        <w:pStyle w:val="TextBody"/>
        <w:bidi w:val="0"/>
        <w:spacing w:lineRule="atLeast" w:line="24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24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24"/>
          <w:u w:val="none"/>
          <w:effect w:val="none"/>
        </w:rPr>
        <w:t>Stock Vested During Fiscal 2026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The following table sets forth information concerning the vesting of RSUs held by each of the NEOs during fiscal 2026. The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value realized from vested RSUs is deemed to be the market value of the common stock on the date of vesting, based on the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closing price on such date, multiplied by the number of shares.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tbl>
      <w:tblPr>
        <w:tblW w:w="4173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456"/>
        <w:gridCol w:w="1411"/>
        <w:gridCol w:w="1306"/>
      </w:tblGrid>
      <w:tr>
        <w:trPr/>
        <w:tc>
          <w:tcPr>
            <w:tcW w:w="145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1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45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17" w:type="dxa"/>
            <w:gridSpan w:val="2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Stock Awards</w:t>
            </w:r>
          </w:p>
        </w:tc>
      </w:tr>
      <w:tr>
        <w:trPr/>
        <w:tc>
          <w:tcPr>
            <w:tcW w:w="1456" w:type="dxa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Name</w:t>
            </w:r>
          </w:p>
        </w:tc>
        <w:tc>
          <w:tcPr>
            <w:tcW w:w="1411" w:type="dxa"/>
            <w:tcBorders>
              <w:top w:val="single" w:sz="4" w:space="0" w:color="18333C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Number of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Shares Acquired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on Vesting (#)</w:t>
            </w:r>
          </w:p>
        </w:tc>
        <w:tc>
          <w:tcPr>
            <w:tcW w:w="1306" w:type="dxa"/>
            <w:tcBorders>
              <w:top w:val="single" w:sz="4" w:space="0" w:color="18333C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Value Realized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on Vesting ($)</w:t>
            </w:r>
          </w:p>
        </w:tc>
      </w:tr>
      <w:tr>
        <w:trPr/>
        <w:tc>
          <w:tcPr>
            <w:tcW w:w="1456" w:type="dxa"/>
            <w:tcBorders>
              <w:top w:val="single" w:sz="4" w:space="0" w:color="18333C"/>
              <w:bottom w:val="single" w:sz="4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/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sz w:val="17"/>
                <w:u w:val="none"/>
                <w:effect w:val="none"/>
              </w:rPr>
              <w:t>Strauss Zelnick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sz w:val="11"/>
                <w:u w:val="none"/>
                <w:effect w:val="none"/>
              </w:rPr>
              <w:t>(1)</w:t>
            </w:r>
          </w:p>
        </w:tc>
        <w:tc>
          <w:tcPr>
            <w:tcW w:w="1411" w:type="dxa"/>
            <w:tcBorders>
              <w:top w:val="single" w:sz="4" w:space="0" w:color="18333C"/>
              <w:bottom w:val="single" w:sz="4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caps w:val="false"/>
                <w:smallCaps w:val="false"/>
              </w:rPr>
            </w:pPr>
            <w:r>
              <w:rPr>
                <w:caps w:val="false"/>
                <w:smallCaps w:val="false"/>
              </w:rPr>
              <w:t>—</w:t>
            </w:r>
          </w:p>
        </w:tc>
        <w:tc>
          <w:tcPr>
            <w:tcW w:w="1306" w:type="dxa"/>
            <w:tcBorders>
              <w:top w:val="single" w:sz="4" w:space="0" w:color="18333C"/>
              <w:bottom w:val="single" w:sz="4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caps w:val="false"/>
                <w:smallCaps w:val="false"/>
              </w:rPr>
            </w:pPr>
            <w:r>
              <w:rPr>
                <w:caps w:val="false"/>
                <w:smallCaps w:val="false"/>
              </w:rPr>
              <w:t>—</w:t>
            </w:r>
          </w:p>
        </w:tc>
      </w:tr>
      <w:tr>
        <w:trPr/>
        <w:tc>
          <w:tcPr>
            <w:tcW w:w="1456" w:type="dxa"/>
            <w:tcBorders>
              <w:top w:val="single" w:sz="4" w:space="0" w:color="8C8D8F"/>
              <w:bottom w:val="single" w:sz="4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Lainie Goldstein</w:t>
            </w:r>
          </w:p>
        </w:tc>
        <w:tc>
          <w:tcPr>
            <w:tcW w:w="1411" w:type="dxa"/>
            <w:tcBorders>
              <w:top w:val="single" w:sz="4" w:space="0" w:color="8C8D8F"/>
              <w:bottom w:val="single" w:sz="4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sz w:val="24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7"/>
                <w:u w:val="none"/>
                <w:effect w:val="none"/>
              </w:rPr>
              <w:t>80,869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1"/>
                <w:u w:val="none"/>
                <w:effect w:val="none"/>
              </w:rPr>
              <w:t>(2)</w:t>
            </w:r>
          </w:p>
        </w:tc>
        <w:tc>
          <w:tcPr>
            <w:tcW w:w="1306" w:type="dxa"/>
            <w:tcBorders>
              <w:top w:val="single" w:sz="4" w:space="0" w:color="8C8D8F"/>
              <w:bottom w:val="single" w:sz="4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7"/>
                <w:u w:val="none"/>
                <w:effect w:val="none"/>
              </w:rPr>
              <w:t>$18,343,201</w:t>
            </w:r>
          </w:p>
        </w:tc>
      </w:tr>
      <w:tr>
        <w:trPr/>
        <w:tc>
          <w:tcPr>
            <w:tcW w:w="1456" w:type="dxa"/>
            <w:tcBorders>
              <w:top w:val="single" w:sz="4" w:space="0" w:color="8C8D8F"/>
              <w:bottom w:val="single" w:sz="4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/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sz w:val="17"/>
                <w:u w:val="none"/>
                <w:effect w:val="none"/>
              </w:rPr>
              <w:t>Karl Slatoff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sz w:val="11"/>
                <w:u w:val="none"/>
                <w:effect w:val="none"/>
              </w:rPr>
              <w:t>(1)</w:t>
            </w:r>
          </w:p>
        </w:tc>
        <w:tc>
          <w:tcPr>
            <w:tcW w:w="1411" w:type="dxa"/>
            <w:tcBorders>
              <w:top w:val="single" w:sz="4" w:space="0" w:color="8C8D8F"/>
              <w:bottom w:val="single" w:sz="4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306" w:type="dxa"/>
            <w:tcBorders>
              <w:top w:val="single" w:sz="4" w:space="0" w:color="8C8D8F"/>
              <w:bottom w:val="single" w:sz="4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</w:tr>
      <w:tr>
        <w:trPr/>
        <w:tc>
          <w:tcPr>
            <w:tcW w:w="1456" w:type="dxa"/>
            <w:tcBorders>
              <w:top w:val="single" w:sz="4" w:space="0" w:color="8C8D8F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Daniel Emerson</w:t>
            </w:r>
          </w:p>
        </w:tc>
        <w:tc>
          <w:tcPr>
            <w:tcW w:w="1411" w:type="dxa"/>
            <w:tcBorders>
              <w:top w:val="single" w:sz="4" w:space="0" w:color="8C8D8F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sz w:val="24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7"/>
                <w:u w:val="none"/>
                <w:effect w:val="none"/>
              </w:rPr>
              <w:t>55,496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1"/>
                <w:u w:val="none"/>
                <w:effect w:val="none"/>
              </w:rPr>
              <w:t>(3)</w:t>
            </w:r>
          </w:p>
        </w:tc>
        <w:tc>
          <w:tcPr>
            <w:tcW w:w="1306" w:type="dxa"/>
            <w:tcBorders>
              <w:top w:val="single" w:sz="4" w:space="0" w:color="8C8D8F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7"/>
                <w:u w:val="none"/>
                <w:effect w:val="none"/>
              </w:rPr>
              <w:t>$12,587,915</w:t>
            </w:r>
          </w:p>
        </w:tc>
      </w:tr>
    </w:tbl>
    <w:p>
      <w:pPr>
        <w:pStyle w:val="TextBody"/>
        <w:bidi w:val="0"/>
        <w:spacing w:lineRule="atLeast" w:line="142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(1)As discussed above, Messrs. Zelnick and Slatoff have not received grants of restricted stock, RSUs or option awards, but are partners in ZMC, which has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42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received certain grants. The Company’s RCS achievement for the awards that vested in fiscal 2026 was in excess of the maximum goal, which resulted in the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42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maximum vesting percentage for the RSUs (i.e. 200% of target) based on achievement of RCS performance-vesting criteria, and no shares being forfeited. The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42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Company’s relative TSR achievement for the awards that vested in fiscal 2026 was the 78th percentile, which resulted in the maximum vesting percentage for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42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the RSUs (i.e. 200% of target) based on achievement of TSR performance-vesting criteria, and no shares being forfeited. For information related to shares that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42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vested or failed to vest see “Certain Relationships and Related Transactions—Management Agreement” and “Pay versus Performance”.</w:t>
      </w:r>
    </w:p>
    <w:p>
      <w:pPr>
        <w:pStyle w:val="TextBody"/>
        <w:bidi w:val="0"/>
        <w:spacing w:lineRule="atLeast" w:line="142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(2)Represents (i) a total of 4,164 time-based RSUs originally granted on June 1, 2022 which vested in four quarterly installments on each of June 1, 2025,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42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September 1, 2025, December 1, 2025, and March 1, 2026, (ii) a total of 3,972 time-based RSUs originally granted on June 1, 2023 which vested in four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42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quarterly installments on each of June 1, 2025, September 1, 2025, December 1, 2025, and March 1, 2026, (iii) a total of 6,033 time-based RSUs originally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42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granted on June 1, 2024 which vested in four quarterly installments on each of June 1, 2025, September 1, 2025, December 1, 2025, and March 1, 2026, and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42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(iv) 66,700 performance-based RSUs originally granted on June 1, 2022, which vested on June 1, 2025 as a result of maximum performance criteria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42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achievement. The performance-based RSUs that vested on June 1, 2025 included only relative TSR performance-based vesting, and the Company’s relative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42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TSR achievement for the awards that vested in fiscal 2026 was the 78th percentile, which resulted in the maximum vesting percentage for the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42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performance-based RSUs, (i.e. 200% of target), and no shares being forfeited.</w:t>
      </w:r>
    </w:p>
    <w:p>
      <w:pPr>
        <w:pStyle w:val="TextBody"/>
        <w:bidi w:val="0"/>
        <w:spacing w:lineRule="atLeast" w:line="142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(3)Represents (i) a total of 2,858 time-based RSUs originally granted on June 1, 2022 which vested in four quarterly installments on each of June 1, 2025,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42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September 1, 2025, December 1, 2025, and March 1, 2026, (ii) a total of 2,725 time-based RSUs originally granted on June 1, 2023 which vested in four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42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quarterly installments on each of June 1, 2025, September 1, 2025, December 1, 2025, and March 1, 2026, (iii) a total of 4,139 time-based RSUs originally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42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granted on June 1, 2024 which vested in four quarterly installments on each of June 1, 2025, September 1, 2025, December 1, 2025, and March 1, 2026, and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42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(iv) 45,774 performance-based RSUs originally granted on June 1, 2022, which vested on June 1, 2025 as a result of maximum performance criteria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42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achievement. The performance-based RSUs that vested on June 1, 2025 included only relative TSR performance-based vesting, and the Company’s relative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42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TSR achievement for the awards that vested in fiscal 2026 was the 78th percentile, which resulted in the maximum vesting percentage for the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42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performance-based RSUs, (i.e. 200% of target), and no shares being forfeited.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4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24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24"/>
          <w:u w:val="none"/>
          <w:effect w:val="none"/>
        </w:rPr>
        <w:t>Pension Benefits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We do not currently sponsor or maintain any defined benefit pension or retirement plans providing specified retirement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payments and benefits for our NEOs.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4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24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24"/>
          <w:u w:val="none"/>
          <w:effect w:val="none"/>
        </w:rPr>
        <w:t>Nonqualified Deferred Compensation for Fiscal 2026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The following table sets forth information regarding deferrals, earnings, and balances under the DCP for each of our NEOs as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of March 31, 2026:</w:t>
      </w:r>
    </w:p>
    <w:tbl>
      <w:tblPr>
        <w:tblW w:w="8151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426"/>
        <w:gridCol w:w="1411"/>
        <w:gridCol w:w="1411"/>
        <w:gridCol w:w="1396"/>
        <w:gridCol w:w="1141"/>
        <w:gridCol w:w="1366"/>
      </w:tblGrid>
      <w:tr>
        <w:trPr/>
        <w:tc>
          <w:tcPr>
            <w:tcW w:w="14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1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1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6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426" w:type="dxa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Name</w:t>
            </w:r>
          </w:p>
        </w:tc>
        <w:tc>
          <w:tcPr>
            <w:tcW w:w="1411" w:type="dxa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Executive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Contributions in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Last Fiscal Year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($)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0"/>
                <w:u w:val="none"/>
                <w:effect w:val="none"/>
              </w:rPr>
              <w:t>(1)</w:t>
            </w:r>
          </w:p>
        </w:tc>
        <w:tc>
          <w:tcPr>
            <w:tcW w:w="1411" w:type="dxa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Registrant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Contributions in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Last Fiscal Year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($)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0"/>
                <w:u w:val="none"/>
                <w:effect w:val="none"/>
              </w:rPr>
              <w:t>(2)</w:t>
            </w:r>
          </w:p>
        </w:tc>
        <w:tc>
          <w:tcPr>
            <w:tcW w:w="1396" w:type="dxa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Aggregate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Earnings in Last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Fiscal Year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($)</w:t>
            </w:r>
          </w:p>
        </w:tc>
        <w:tc>
          <w:tcPr>
            <w:tcW w:w="1141" w:type="dxa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Aggregate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Withdrawals/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Distributions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($)</w:t>
            </w:r>
          </w:p>
        </w:tc>
        <w:tc>
          <w:tcPr>
            <w:tcW w:w="1366" w:type="dxa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Aggregate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Balance at Last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Fiscal Year End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($)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0"/>
                <w:u w:val="none"/>
                <w:effect w:val="none"/>
              </w:rPr>
              <w:t>(3)</w:t>
            </w:r>
          </w:p>
        </w:tc>
      </w:tr>
      <w:tr>
        <w:trPr/>
        <w:tc>
          <w:tcPr>
            <w:tcW w:w="1426" w:type="dxa"/>
            <w:tcBorders>
              <w:top w:val="single" w:sz="4" w:space="0" w:color="18333C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Lainie Goldstein</w:t>
            </w:r>
          </w:p>
        </w:tc>
        <w:tc>
          <w:tcPr>
            <w:tcW w:w="1411" w:type="dxa"/>
            <w:tcBorders>
              <w:top w:val="single" w:sz="4" w:space="0" w:color="18333C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-</w:t>
            </w:r>
          </w:p>
        </w:tc>
        <w:tc>
          <w:tcPr>
            <w:tcW w:w="1411" w:type="dxa"/>
            <w:tcBorders>
              <w:top w:val="single" w:sz="4" w:space="0" w:color="18333C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-</w:t>
            </w:r>
          </w:p>
        </w:tc>
        <w:tc>
          <w:tcPr>
            <w:tcW w:w="1396" w:type="dxa"/>
            <w:tcBorders>
              <w:top w:val="single" w:sz="4" w:space="0" w:color="18333C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-</w:t>
            </w:r>
          </w:p>
        </w:tc>
        <w:tc>
          <w:tcPr>
            <w:tcW w:w="1141" w:type="dxa"/>
            <w:tcBorders>
              <w:top w:val="single" w:sz="4" w:space="0" w:color="18333C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-</w:t>
            </w:r>
          </w:p>
        </w:tc>
        <w:tc>
          <w:tcPr>
            <w:tcW w:w="1366" w:type="dxa"/>
            <w:tcBorders>
              <w:top w:val="single" w:sz="4" w:space="0" w:color="18333C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-</w:t>
            </w:r>
          </w:p>
        </w:tc>
      </w:tr>
      <w:tr>
        <w:trPr/>
        <w:tc>
          <w:tcPr>
            <w:tcW w:w="1426" w:type="dxa"/>
            <w:tcBorders>
              <w:top w:val="single" w:sz="2" w:space="0" w:color="8C8D8F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Daniel Emerson</w:t>
            </w:r>
          </w:p>
        </w:tc>
        <w:tc>
          <w:tcPr>
            <w:tcW w:w="1411" w:type="dxa"/>
            <w:tcBorders>
              <w:top w:val="single" w:sz="2" w:space="0" w:color="8C8D8F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425,000</w:t>
            </w:r>
          </w:p>
        </w:tc>
        <w:tc>
          <w:tcPr>
            <w:tcW w:w="1411" w:type="dxa"/>
            <w:tcBorders>
              <w:top w:val="single" w:sz="2" w:space="0" w:color="8C8D8F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-</w:t>
            </w:r>
          </w:p>
        </w:tc>
        <w:tc>
          <w:tcPr>
            <w:tcW w:w="1396" w:type="dxa"/>
            <w:tcBorders>
              <w:top w:val="single" w:sz="2" w:space="0" w:color="8C8D8F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-</w:t>
            </w:r>
          </w:p>
        </w:tc>
        <w:tc>
          <w:tcPr>
            <w:tcW w:w="1141" w:type="dxa"/>
            <w:tcBorders>
              <w:top w:val="single" w:sz="2" w:space="0" w:color="8C8D8F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-</w:t>
            </w:r>
          </w:p>
        </w:tc>
        <w:tc>
          <w:tcPr>
            <w:tcW w:w="1366" w:type="dxa"/>
            <w:tcBorders>
              <w:top w:val="single" w:sz="2" w:space="0" w:color="8C8D8F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425,000</w:t>
            </w:r>
          </w:p>
        </w:tc>
      </w:tr>
    </w:tbl>
    <w:p>
      <w:pPr>
        <w:pStyle w:val="TextBody"/>
        <w:bidi w:val="0"/>
        <w:spacing w:lineRule="atLeast" w:line="142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(1)Represents the aggregate amount of the annual cash bonus deferred by Mr. Emerson under the DCP. These amounts are related to compensation earned by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42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the NEOs in fiscal 2026, and are therefore also reported in the appropriate column in the Summary Compensation Table above. Ms. Goldstein did not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42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participate in the DCP in fiscal 2026.</w:t>
      </w:r>
    </w:p>
    <w:p>
      <w:pPr>
        <w:pStyle w:val="TextBody"/>
        <w:bidi w:val="0"/>
        <w:spacing w:lineRule="atLeast" w:line="142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(2)The Company did not make any discretionary employer contributions under the DCP and no amounts are reported in the Summary Compensation Table for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42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fiscal 2026.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42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(3)The aggregate balance reported in this column for Mr. Emerson reflects the deferral of a portion of his fiscal 2026 annual cash bonus, all of which is reported as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42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compensation for fiscal 2026 in the Summary Compensation Table above. The amounts reported in this column do not represent above-market earnings, and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42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thus are not reported in the Summary Compensation Table. For the avoidance of doubt, and notwithstanding the above, the amounts reported in this column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42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were credited to Mr. Emerson’s account as of June 12, 2026.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The material terms of the DCP are included in our Compensation Discussion and Analysis above.</w:t>
      </w:r>
    </w:p>
    <w:tbl>
      <w:tblPr>
        <w:tblW w:w="493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301"/>
        <w:gridCol w:w="4636"/>
      </w:tblGrid>
      <w:tr>
        <w:trPr/>
        <w:tc>
          <w:tcPr>
            <w:tcW w:w="30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0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54</w:t>
            </w:r>
          </w:p>
        </w:tc>
        <w:tc>
          <w:tcPr>
            <w:tcW w:w="4636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sz w:val="24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TAKE-TWO INTERACTIVE SOFTWARE, INC.   |   2026</w:t>
            </w:r>
            <w:r>
              <w:rPr>
                <w:caps w:val="false"/>
                <w:smallCaps w:val="false"/>
                <w:strike w:val="false"/>
                <w:dstrike w:val="false"/>
                <w:color w:val="18333C"/>
                <w:sz w:val="24"/>
                <w:u w:val="none"/>
                <w:effect w:val="none"/>
              </w:rPr>
              <w:t xml:space="preserve"> 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Proxy Statement</w:t>
            </w:r>
          </w:p>
        </w:tc>
      </w:tr>
    </w:tbl>
    <w:p>
      <w:pPr>
        <w:pStyle w:val="TextBody"/>
        <w:bidi w:val="0"/>
        <w:spacing w:lineRule="atLeast" w:line="142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3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3"/>
          <w:u w:val="none"/>
          <w:effect w:val="none"/>
        </w:rPr>
        <w:t>EXECUTIVE COMPENSATION</w:t>
      </w:r>
    </w:p>
    <w:p>
      <w:pPr>
        <w:pStyle w:val="TextBody"/>
        <w:bidi w:val="0"/>
        <w:spacing w:lineRule="atLeast" w:line="142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2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2"/>
          <w:u w:val="none"/>
          <w:effect w:val="none"/>
        </w:rPr>
        <w:t>POTENTIAL PAYMENTS UPON TERMINATION OR CHANGE IN CONTROL</w:t>
      </w:r>
    </w:p>
    <w:p>
      <w:pPr>
        <w:pStyle w:val="TextBody"/>
        <w:bidi w:val="0"/>
        <w:spacing w:lineRule="atLeast" w:line="142" w:before="0" w:after="0"/>
        <w:jc w:val="both"/>
        <w:rPr>
          <w:caps w:val="false"/>
          <w:smallCaps w:val="false"/>
          <w:u w:val="single"/>
        </w:rPr>
      </w:pPr>
      <w:r>
        <w:rPr>
          <w:caps w:val="false"/>
          <w:smallCaps w:val="false"/>
          <w:u w:val="single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4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24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24"/>
          <w:u w:val="none"/>
          <w:effect w:val="none"/>
        </w:rPr>
        <w:t>Potential Payments Upon Termination or Change in Control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Ms. Goldstein and Mr. Emerson are entitled to receive certain amounts and benefits upon termination of their employment or a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change in control pursuant to their employment agreements. Additionally, Ms. Goldstein and Mr. Emerson are eligible to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participate in the CIC Severance Plan, to the extent they would be entitled to receive greater amounts and benefits under the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CIC Severance Plan than under their employment agreements. Additionally, commencing in fiscal 2025, equity grants made to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Ms. Goldstein and Mr. Emerson (but not to ZMC) included certain special retirement vesting terms. Messrs. Zelnick and Slatoff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are not entitled to directly receive any severance benefits from the Company upon a termination of employment or change in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control. See “Certain Relationships and Related Transactions—Management Agreement” for details regarding certain payments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and benefits that ZMC is entitled to receive upon certain qualifying terminations.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B0295B"/>
          <w:sz w:val="20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B0295B"/>
          <w:sz w:val="20"/>
          <w:u w:val="none"/>
          <w:effect w:val="none"/>
        </w:rPr>
        <w:t>Employment Agreements</w:t>
      </w:r>
    </w:p>
    <w:p>
      <w:pPr>
        <w:pStyle w:val="TextBody"/>
        <w:bidi w:val="0"/>
        <w:spacing w:lineRule="atLeast" w:line="19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64BFA6"/>
          <w:sz w:val="19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64BFA6"/>
          <w:sz w:val="19"/>
          <w:u w:val="none"/>
          <w:effect w:val="none"/>
        </w:rPr>
        <w:t>Lainie Goldstein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Pursuant to the terms of Ms. Goldstein’s employment agreement, she will be entitled to receive the following severance benefits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upon a termination by the Company without cause (including a non-renewal of the agreement as well as her resignation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following certain events that will be deemed a termination without cause): (i) (w) a continuation of Ms. Goldstein’s then-current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base salary for 24 months, (x) 2 times her target bonus, (y) a prorated target bonus for the year of termination (equal to 50% of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target if such termination occurs during the first half of the year, and 100% of target if such termination occurs during the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second half of the year), and (z) any unpaid bonuses earned in respect of the prior full fiscal year, (ii) reimbursement for the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cost of continued health insurance coverage under COBRA or its equivalent for 24 months, which amount may include a tax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gross up for any cash payment made to Ms. Goldstein in connection with such continuation coverage should such coverage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end prior to expiration of the 24 month period; and (iii) immediate vesting of all restricted equity previously granted to her.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Ms. Goldstein has agreed not to compete with the Company or solicit any of the Company’s customers or personnel during her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employment and for one year following any termination of her employment, all on the terms set forth in the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employment agreement.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The employment agreement also provides that Ms. Goldstein will be eligible to earn a change in control retention bonus. This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retention bonus reflects Ms. Goldstein’s retention during a transition being critical to the Company. Ms. Goldstein is the only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individual at the Company who has a retention bonus. A portion of such bonus, equal to three months’ base salary, will be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payable upon the closing of a change in control, and a portion of the bonus, equal to three months’ base salary, will be payable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on the six month anniversary of such change in control, provided that Ms. Goldstein has continued to be employed by the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Company following such change in control through the applicable payment date (or if Ms. Goldstein undergoes an involuntary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termination of employment prior to the applicable payment date, including a termination by the Company without cause, a non-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renewal of the employment agreement by the Company, or a resignation following the occurrence of certain events or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circumstances that will be deemed tantamount to a termination without cause). The employment agreement also provides that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any amounts received by her in connection with a change in control will be reduced if, pursuant to the excise tax provisions of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the Code relating to “parachute payments,” such reduction would result in a greater after-tax benefit to her.</w:t>
      </w:r>
    </w:p>
    <w:p>
      <w:pPr>
        <w:pStyle w:val="TextBody"/>
        <w:bidi w:val="0"/>
        <w:spacing w:lineRule="atLeast" w:line="19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64BFA6"/>
          <w:sz w:val="19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64BFA6"/>
          <w:sz w:val="19"/>
          <w:u w:val="none"/>
          <w:effect w:val="none"/>
        </w:rPr>
        <w:t>Daniel Emerson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Pursuant to the terms of Mr. Emerson’s employment agreement, he will be entitled to receive the following severance benefits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following a termination by the Company without cause (including his resignation following certain events that will be deemed a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termination without cause): (i) for a period of 12 months following such termination of employment, continuation of his base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salary and continued participation in Company welfare benefit plans (including, without limitation, any medical benefits in which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he participates) on the same terms and conditions as in effect at the time of the event triggering his entitlement to severance;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(ii) immediate vesting of all restricted equity previously granted to him; and (iii) subject to the effective date of Mr. Emerson’s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termination, payment of the following lump sum amounts: (x) any accrued but unpaid bonuses earned in respect of prior years;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(y) if the termination is effective during the first half of the year, a lump sum payment equivalent to the sum of (1) the accrued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but unpaid bonus for the prior fiscal year and (2) 50% of the target bonus for which Mr. Emerson would otherwise have been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eligible in the current fiscal year; or (z) if such termination occurs during the second half of the year, a lump sum payment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equivalent to the sum of (1) the accrued but unpaid bonus for the prior fiscal year and (2) the target bonus for which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Mr. Emerson would otherwise have been eligible in the current fiscal year. Mr. Emerson has agreed not to solicit any of the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Company’s customers or personnel during his employment and for one year following any termination of his employment, all on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the terms set forth in the employment agreement.</w:t>
      </w:r>
    </w:p>
    <w:tbl>
      <w:tblPr>
        <w:tblW w:w="4982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4651"/>
        <w:gridCol w:w="331"/>
      </w:tblGrid>
      <w:tr>
        <w:trPr/>
        <w:tc>
          <w:tcPr>
            <w:tcW w:w="46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651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sz w:val="24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TAKE-TWO INTERACTIVE SOFTWARE, INC.   |   2026</w:t>
            </w:r>
            <w:r>
              <w:rPr>
                <w:caps w:val="false"/>
                <w:smallCaps w:val="false"/>
                <w:strike w:val="false"/>
                <w:dstrike w:val="false"/>
                <w:color w:val="18333C"/>
                <w:sz w:val="24"/>
                <w:u w:val="none"/>
                <w:effect w:val="none"/>
              </w:rPr>
              <w:t xml:space="preserve"> 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 xml:space="preserve">Proxy Statement </w:t>
            </w:r>
          </w:p>
        </w:tc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55</w:t>
            </w:r>
          </w:p>
        </w:tc>
      </w:tr>
    </w:tbl>
    <w:p>
      <w:pPr>
        <w:pStyle w:val="TextBody"/>
        <w:bidi w:val="0"/>
        <w:spacing w:lineRule="atLeast" w:line="142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3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3"/>
          <w:u w:val="none"/>
          <w:effect w:val="none"/>
        </w:rPr>
        <w:t>EXECUTIVE COMPENSATION</w:t>
      </w:r>
    </w:p>
    <w:p>
      <w:pPr>
        <w:pStyle w:val="TextBody"/>
        <w:bidi w:val="0"/>
        <w:spacing w:lineRule="atLeast" w:line="142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2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2"/>
          <w:u w:val="none"/>
          <w:effect w:val="none"/>
        </w:rPr>
        <w:t>POTENTIAL PAYMENTS UPON TERMINATION OR CHANGE IN CONTROL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B0295B"/>
          <w:sz w:val="20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B0295B"/>
          <w:sz w:val="20"/>
          <w:u w:val="none"/>
          <w:effect w:val="none"/>
        </w:rPr>
        <w:t>CIC Severance Plan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Pursuant to the CIC Severance Plan, certain eligible employees, including Ms. Goldstein and Mr. Emerson may receive certain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benefits upon a termination of employment either by the Company without “cause” or voluntarily for “good reason,” in either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case during the 12-month period following a change in control of the Company. The benefits that Ms. Goldstein and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Mr. Emerson would be entitled to receive upon a qualifying termination of employment under the CIC Severance Plan consist of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the following: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caps w:val="false"/>
          <w:smallCaps w:val="false"/>
          <w:strike w:val="false"/>
          <w:dstrike w:val="false"/>
          <w:color w:val="18333C"/>
          <w:u w:val="none"/>
          <w:effect w:val="non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 cash severance payment equal to 150% of the sum of the NEO’s annual base salary and target annual bonus or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incentive opportunity;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caps w:val="false"/>
          <w:smallCaps w:val="false"/>
          <w:strike w:val="false"/>
          <w:dstrike w:val="false"/>
          <w:color w:val="18333C"/>
          <w:u w:val="none"/>
          <w:effect w:val="non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continued health benefits for a period of 18 months; and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caps w:val="false"/>
          <w:smallCaps w:val="false"/>
          <w:strike w:val="false"/>
          <w:dstrike w:val="false"/>
          <w:color w:val="18333C"/>
          <w:u w:val="none"/>
          <w:effect w:val="non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full and immediate vesting of all outstanding and unvested equity awards.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For purposes of the CIC Severance Plan, Ms. Goldstein and Mr. Emerson will be deemed to have resigned for “good reason” if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the resignation occurs or occurred, as applicable, in connection with any of the events specified in the employment agreements,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such that the resignation would be or would have been, as applicable, tantamount to a termination without cause under the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terms of the employment agreements. For purposes of the CIC Severance Plan, “cause” generally means a participant’s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continued failure to substantially perform the participant’s duties after receipt of notice from the Company, a participant’s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criminal conviction which is demonstrably injurious to the Company, a participant’s felony conviction, a participant’s gross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negligence which affects the Company or a participant’s failure to adhere to the Company’s written policies or to cooperate in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any investigation or inquiry involving the Company.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Severance benefits provided under the CIC Severance Plan are subject to reduction to avoid any excise tax on “parachute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payments” under Section 280G of the Code if the employee would benefit from such reduction as opposed to receiving the full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severance benefits and paying the excise tax. All employees who accept severance payments and, if applicable, the continued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health coverage under the CIC Severance Plan are required to sign a release and are subject to restrictions on the solicitation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of employees and customers of the Company for a period of six months following termination as well as a non-disparagement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obligation. In addition, all employees who accept any benefits under the CIC Severance Plan are subject to a duty to cooperate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reasonably with the Company in any litigation relating to matters in which the employee was personally involved. We do not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provide for any tax gross-ups in respect of any excise taxes on parachute payments.</w:t>
      </w:r>
    </w:p>
    <w:p>
      <w:pPr>
        <w:pStyle w:val="TextBody"/>
        <w:bidi w:val="0"/>
        <w:spacing w:lineRule="atLeast" w:line="200" w:before="0" w:after="0"/>
        <w:jc w:val="left"/>
        <w:rPr>
          <w:sz w:val="24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B0295B"/>
          <w:sz w:val="20"/>
          <w:u w:val="none"/>
          <w:effect w:val="none"/>
        </w:rPr>
        <w:t>Fiscal 2026</w:t>
      </w:r>
      <w:r>
        <w:rPr>
          <w:caps w:val="false"/>
          <w:smallCaps w:val="false"/>
          <w:strike w:val="false"/>
          <w:dstrike w:val="false"/>
          <w:color w:val="B0295B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B0295B"/>
          <w:sz w:val="20"/>
          <w:u w:val="none"/>
          <w:effect w:val="none"/>
        </w:rPr>
        <w:t>Equity Awards Retirement Provision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Since fiscal 2025, we have included a retirement provision into our annual equity award agreements for all our employees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(including our non-ZMC NEOs) to recognize eligible employees’ long-term contributions and impact to our Company if such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eligible employee retires. The equity awards granted to Ms. Goldstein and Mr. Emerson in fiscal 2026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included such retirement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provisions, whereby, in the case of a retirement, time-vested RSUs will immediately vest in full upon such retirement and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performance-vested RSUs will remain eligible to vest on the original vesting date applicable thereto based on actual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performance, with settlement to occur within 60 days of vesting, if applicable. These provisions were updated from fiscal year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2025, where time-vested RSUs vested according to their original schedule and only a pro-rated amount of performance-vested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RSUs were eligible to vest, to better reflect market standards.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For purposes of the awards, “retirement” means a person’s termination at or after attaining (x) age 55, with at least 10 years of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service, or (y) age 60, with at least 5 years of service, and provided that such person satisfies certain advance notice of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retirement requirements as set forth in the grant agreements.</w:t>
      </w:r>
    </w:p>
    <w:tbl>
      <w:tblPr>
        <w:tblW w:w="493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301"/>
        <w:gridCol w:w="4636"/>
      </w:tblGrid>
      <w:tr>
        <w:trPr/>
        <w:tc>
          <w:tcPr>
            <w:tcW w:w="30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0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56</w:t>
            </w:r>
          </w:p>
        </w:tc>
        <w:tc>
          <w:tcPr>
            <w:tcW w:w="4636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sz w:val="24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TAKE-TWO INTERACTIVE SOFTWARE, INC.   |   2026</w:t>
            </w:r>
            <w:r>
              <w:rPr>
                <w:caps w:val="false"/>
                <w:smallCaps w:val="false"/>
                <w:strike w:val="false"/>
                <w:dstrike w:val="false"/>
                <w:color w:val="18333C"/>
                <w:sz w:val="24"/>
                <w:u w:val="none"/>
                <w:effect w:val="none"/>
              </w:rPr>
              <w:t xml:space="preserve"> 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Proxy Statement</w:t>
            </w:r>
          </w:p>
        </w:tc>
      </w:tr>
    </w:tbl>
    <w:p>
      <w:pPr>
        <w:pStyle w:val="TextBody"/>
        <w:bidi w:val="0"/>
        <w:spacing w:lineRule="atLeast" w:line="142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3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3"/>
          <w:u w:val="none"/>
          <w:effect w:val="none"/>
        </w:rPr>
        <w:t>EXECUTIVE COMPENSATION</w:t>
      </w:r>
    </w:p>
    <w:p>
      <w:pPr>
        <w:pStyle w:val="TextBody"/>
        <w:bidi w:val="0"/>
        <w:spacing w:lineRule="atLeast" w:line="142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2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2"/>
          <w:u w:val="none"/>
          <w:effect w:val="none"/>
        </w:rPr>
        <w:t>POTENTIAL PAYMENTS UPON TERMINATION OR CHANGE IN CONTROL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B0295B"/>
          <w:sz w:val="20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B0295B"/>
          <w:sz w:val="20"/>
          <w:u w:val="none"/>
          <w:effect w:val="none"/>
        </w:rPr>
        <w:t>Potential Payments Upon Termination or Change of Control Table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The tables below set forth amounts to be paid or benefits received by those NEOs entitled to receive any amounts or benefits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upon a qualifying termination of their employment or in connection with a change in control, assuming the applicable triggering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event occurred on March 31, 2026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pursuant to their employment agreements and the CIC Severance Plan (to the extent the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benefits under the CIC Severance Plan would be greater than the benefits under the employment agreements).</w:t>
      </w:r>
    </w:p>
    <w:tbl>
      <w:tblPr>
        <w:tblW w:w="7551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581"/>
        <w:gridCol w:w="1066"/>
        <w:gridCol w:w="916"/>
        <w:gridCol w:w="1741"/>
        <w:gridCol w:w="226"/>
        <w:gridCol w:w="1021"/>
      </w:tblGrid>
      <w:tr>
        <w:trPr/>
        <w:tc>
          <w:tcPr>
            <w:tcW w:w="258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6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2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81" w:type="dxa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Lainie Goldstein</w:t>
            </w:r>
          </w:p>
        </w:tc>
        <w:tc>
          <w:tcPr>
            <w:tcW w:w="1066" w:type="dxa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Termination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Without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Cause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($)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0"/>
                <w:u w:val="none"/>
                <w:effect w:val="none"/>
              </w:rPr>
              <w:t>(1)</w:t>
            </w:r>
          </w:p>
        </w:tc>
        <w:tc>
          <w:tcPr>
            <w:tcW w:w="916" w:type="dxa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Death or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Disability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($)</w:t>
            </w:r>
          </w:p>
        </w:tc>
        <w:tc>
          <w:tcPr>
            <w:tcW w:w="1741" w:type="dxa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Change in Control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Termination Without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Cause or for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Good Reason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($)</w:t>
            </w:r>
          </w:p>
        </w:tc>
        <w:tc>
          <w:tcPr>
            <w:tcW w:w="226" w:type="dxa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21" w:type="dxa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Retirement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($)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0"/>
                <w:u w:val="none"/>
                <w:effect w:val="none"/>
              </w:rPr>
              <w:t>(5)</w:t>
            </w:r>
          </w:p>
        </w:tc>
      </w:tr>
      <w:tr>
        <w:trPr/>
        <w:tc>
          <w:tcPr>
            <w:tcW w:w="2581" w:type="dxa"/>
            <w:tcBorders>
              <w:top w:val="single" w:sz="4" w:space="0" w:color="18333C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Salary Payment</w:t>
            </w:r>
          </w:p>
        </w:tc>
        <w:tc>
          <w:tcPr>
            <w:tcW w:w="1066" w:type="dxa"/>
            <w:tcBorders>
              <w:top w:val="single" w:sz="4" w:space="0" w:color="18333C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2,000,000</w:t>
            </w:r>
          </w:p>
        </w:tc>
        <w:tc>
          <w:tcPr>
            <w:tcW w:w="916" w:type="dxa"/>
            <w:tcBorders>
              <w:top w:val="single" w:sz="4" w:space="0" w:color="18333C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741" w:type="dxa"/>
            <w:tcBorders>
              <w:top w:val="single" w:sz="4" w:space="0" w:color="18333C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2,000,000</w:t>
            </w:r>
          </w:p>
        </w:tc>
        <w:tc>
          <w:tcPr>
            <w:tcW w:w="226" w:type="dxa"/>
            <w:tcBorders>
              <w:top w:val="single" w:sz="4" w:space="0" w:color="18333C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21" w:type="dxa"/>
            <w:tcBorders>
              <w:top w:val="single" w:sz="4" w:space="0" w:color="18333C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</w:tr>
      <w:tr>
        <w:trPr/>
        <w:tc>
          <w:tcPr>
            <w:tcW w:w="2581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Continuation of Medical Insurance</w:t>
            </w:r>
          </w:p>
        </w:tc>
        <w:tc>
          <w:tcPr>
            <w:tcW w:w="106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20,805</w:t>
            </w:r>
          </w:p>
        </w:tc>
        <w:tc>
          <w:tcPr>
            <w:tcW w:w="91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741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20,805</w:t>
            </w:r>
          </w:p>
        </w:tc>
        <w:tc>
          <w:tcPr>
            <w:tcW w:w="22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21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</w:tr>
      <w:tr>
        <w:trPr/>
        <w:tc>
          <w:tcPr>
            <w:tcW w:w="2581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/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7"/>
                <w:u w:val="none"/>
                <w:effect w:val="none"/>
              </w:rPr>
              <w:t>Acceleration of Equity Awards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1"/>
                <w:u w:val="none"/>
                <w:effect w:val="none"/>
              </w:rPr>
              <w:t>(2)</w:t>
            </w:r>
          </w:p>
        </w:tc>
        <w:tc>
          <w:tcPr>
            <w:tcW w:w="106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23,336,442</w:t>
            </w:r>
          </w:p>
        </w:tc>
        <w:tc>
          <w:tcPr>
            <w:tcW w:w="91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23,336,442</w:t>
            </w:r>
          </w:p>
        </w:tc>
        <w:tc>
          <w:tcPr>
            <w:tcW w:w="1741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23,336,442</w:t>
            </w:r>
          </w:p>
        </w:tc>
        <w:tc>
          <w:tcPr>
            <w:tcW w:w="22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21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10,206,998</w:t>
            </w:r>
          </w:p>
        </w:tc>
      </w:tr>
      <w:tr>
        <w:trPr/>
        <w:tc>
          <w:tcPr>
            <w:tcW w:w="2581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Bonus Payment</w:t>
            </w:r>
          </w:p>
        </w:tc>
        <w:tc>
          <w:tcPr>
            <w:tcW w:w="106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4,500,000</w:t>
            </w:r>
          </w:p>
        </w:tc>
        <w:tc>
          <w:tcPr>
            <w:tcW w:w="91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1,500,000</w:t>
            </w:r>
          </w:p>
        </w:tc>
        <w:tc>
          <w:tcPr>
            <w:tcW w:w="1741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4,500,000</w:t>
            </w:r>
          </w:p>
        </w:tc>
        <w:tc>
          <w:tcPr>
            <w:tcW w:w="22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21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</w:tr>
      <w:tr>
        <w:trPr/>
        <w:tc>
          <w:tcPr>
            <w:tcW w:w="2581" w:type="dxa"/>
            <w:tcBorders>
              <w:top w:val="single" w:sz="2" w:space="0" w:color="8C8D8F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Stay Bonus</w:t>
            </w:r>
          </w:p>
        </w:tc>
        <w:tc>
          <w:tcPr>
            <w:tcW w:w="1066" w:type="dxa"/>
            <w:tcBorders>
              <w:top w:val="single" w:sz="2" w:space="0" w:color="8C8D8F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916" w:type="dxa"/>
            <w:tcBorders>
              <w:top w:val="single" w:sz="2" w:space="0" w:color="8C8D8F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741" w:type="dxa"/>
            <w:tcBorders>
              <w:top w:val="single" w:sz="2" w:space="0" w:color="8C8D8F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500,000</w:t>
            </w:r>
          </w:p>
        </w:tc>
        <w:tc>
          <w:tcPr>
            <w:tcW w:w="226" w:type="dxa"/>
            <w:tcBorders>
              <w:top w:val="single" w:sz="2" w:space="0" w:color="8C8D8F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1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1"/>
                <w:u w:val="none"/>
                <w:effect w:val="none"/>
              </w:rPr>
              <w:t>(3)</w:t>
            </w:r>
          </w:p>
        </w:tc>
        <w:tc>
          <w:tcPr>
            <w:tcW w:w="1021" w:type="dxa"/>
            <w:tcBorders>
              <w:top w:val="single" w:sz="2" w:space="0" w:color="8C8D8F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</w:tr>
      <w:tr>
        <w:trPr/>
        <w:tc>
          <w:tcPr>
            <w:tcW w:w="2581" w:type="dxa"/>
            <w:tcBorders>
              <w:top w:val="single" w:sz="4" w:space="0" w:color="18333C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Total Termination Benefits</w:t>
            </w:r>
          </w:p>
        </w:tc>
        <w:tc>
          <w:tcPr>
            <w:tcW w:w="1066" w:type="dxa"/>
            <w:tcBorders>
              <w:top w:val="single" w:sz="4" w:space="0" w:color="18333C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29,857,247</w:t>
            </w:r>
          </w:p>
        </w:tc>
        <w:tc>
          <w:tcPr>
            <w:tcW w:w="916" w:type="dxa"/>
            <w:tcBorders>
              <w:top w:val="single" w:sz="4" w:space="0" w:color="18333C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24,836,442</w:t>
            </w:r>
          </w:p>
        </w:tc>
        <w:tc>
          <w:tcPr>
            <w:tcW w:w="1741" w:type="dxa"/>
            <w:tcBorders>
              <w:top w:val="single" w:sz="4" w:space="0" w:color="18333C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30,357,247</w:t>
            </w:r>
          </w:p>
        </w:tc>
        <w:tc>
          <w:tcPr>
            <w:tcW w:w="226" w:type="dxa"/>
            <w:tcBorders>
              <w:top w:val="single" w:sz="4" w:space="0" w:color="18333C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sz w:val="11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sz w:val="11"/>
                <w:u w:val="none"/>
                <w:effect w:val="none"/>
              </w:rPr>
              <w:t>(4)</w:t>
            </w:r>
          </w:p>
        </w:tc>
        <w:tc>
          <w:tcPr>
            <w:tcW w:w="1021" w:type="dxa"/>
            <w:tcBorders>
              <w:top w:val="single" w:sz="4" w:space="0" w:color="18333C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10,206,998</w:t>
            </w:r>
          </w:p>
        </w:tc>
      </w:tr>
    </w:tbl>
    <w:tbl>
      <w:tblPr>
        <w:tblW w:w="7401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431"/>
        <w:gridCol w:w="1066"/>
        <w:gridCol w:w="916"/>
        <w:gridCol w:w="1741"/>
        <w:gridCol w:w="226"/>
        <w:gridCol w:w="1021"/>
      </w:tblGrid>
      <w:tr>
        <w:trPr/>
        <w:tc>
          <w:tcPr>
            <w:tcW w:w="24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6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2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31" w:type="dxa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Daniel Emerson</w:t>
            </w:r>
          </w:p>
        </w:tc>
        <w:tc>
          <w:tcPr>
            <w:tcW w:w="1066" w:type="dxa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Termination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Without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Cause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($)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0"/>
                <w:u w:val="none"/>
                <w:effect w:val="none"/>
              </w:rPr>
              <w:t>(1)</w:t>
            </w:r>
          </w:p>
        </w:tc>
        <w:tc>
          <w:tcPr>
            <w:tcW w:w="916" w:type="dxa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Death or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Disability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($)</w:t>
            </w:r>
          </w:p>
        </w:tc>
        <w:tc>
          <w:tcPr>
            <w:tcW w:w="1741" w:type="dxa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Change in Control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Termination Without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Cause or for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Good Reason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($)</w:t>
            </w:r>
          </w:p>
        </w:tc>
        <w:tc>
          <w:tcPr>
            <w:tcW w:w="226" w:type="dxa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21" w:type="dxa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Retirement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($)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0"/>
                <w:u w:val="none"/>
                <w:effect w:val="none"/>
              </w:rPr>
              <w:t>(5)</w:t>
            </w:r>
          </w:p>
        </w:tc>
      </w:tr>
      <w:tr>
        <w:trPr/>
        <w:tc>
          <w:tcPr>
            <w:tcW w:w="2431" w:type="dxa"/>
            <w:tcBorders>
              <w:top w:val="single" w:sz="4" w:space="0" w:color="18333C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Salary Payment</w:t>
            </w:r>
          </w:p>
        </w:tc>
        <w:tc>
          <w:tcPr>
            <w:tcW w:w="1066" w:type="dxa"/>
            <w:tcBorders>
              <w:top w:val="single" w:sz="4" w:space="0" w:color="18333C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850,000</w:t>
            </w:r>
          </w:p>
        </w:tc>
        <w:tc>
          <w:tcPr>
            <w:tcW w:w="916" w:type="dxa"/>
            <w:tcBorders>
              <w:top w:val="single" w:sz="4" w:space="0" w:color="18333C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741" w:type="dxa"/>
            <w:tcBorders>
              <w:top w:val="single" w:sz="4" w:space="0" w:color="18333C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1,275,000</w:t>
            </w:r>
          </w:p>
        </w:tc>
        <w:tc>
          <w:tcPr>
            <w:tcW w:w="226" w:type="dxa"/>
            <w:tcBorders>
              <w:top w:val="single" w:sz="4" w:space="0" w:color="18333C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21" w:type="dxa"/>
            <w:tcBorders>
              <w:top w:val="single" w:sz="4" w:space="0" w:color="18333C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</w:tr>
      <w:tr>
        <w:trPr/>
        <w:tc>
          <w:tcPr>
            <w:tcW w:w="2431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Continuation of Welfare Benefits</w:t>
            </w:r>
          </w:p>
        </w:tc>
        <w:tc>
          <w:tcPr>
            <w:tcW w:w="106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37,979</w:t>
            </w:r>
          </w:p>
        </w:tc>
        <w:tc>
          <w:tcPr>
            <w:tcW w:w="91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741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56,968</w:t>
            </w:r>
          </w:p>
        </w:tc>
        <w:tc>
          <w:tcPr>
            <w:tcW w:w="22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21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</w:tr>
      <w:tr>
        <w:trPr/>
        <w:tc>
          <w:tcPr>
            <w:tcW w:w="2431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/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7"/>
                <w:u w:val="none"/>
                <w:effect w:val="none"/>
              </w:rPr>
              <w:t>Acceleration of Equity Awards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1"/>
                <w:u w:val="none"/>
                <w:effect w:val="none"/>
              </w:rPr>
              <w:t>(2)</w:t>
            </w:r>
          </w:p>
        </w:tc>
        <w:tc>
          <w:tcPr>
            <w:tcW w:w="106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16,015,812</w:t>
            </w:r>
          </w:p>
        </w:tc>
        <w:tc>
          <w:tcPr>
            <w:tcW w:w="91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16,015,812</w:t>
            </w:r>
          </w:p>
        </w:tc>
        <w:tc>
          <w:tcPr>
            <w:tcW w:w="1741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16,015,812</w:t>
            </w:r>
          </w:p>
        </w:tc>
        <w:tc>
          <w:tcPr>
            <w:tcW w:w="22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21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</w:tr>
      <w:tr>
        <w:trPr/>
        <w:tc>
          <w:tcPr>
            <w:tcW w:w="2431" w:type="dxa"/>
            <w:tcBorders>
              <w:top w:val="single" w:sz="2" w:space="0" w:color="8C8D8F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Bonus Payment</w:t>
            </w:r>
          </w:p>
        </w:tc>
        <w:tc>
          <w:tcPr>
            <w:tcW w:w="1066" w:type="dxa"/>
            <w:tcBorders>
              <w:top w:val="single" w:sz="2" w:space="0" w:color="8C8D8F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1,062,500</w:t>
            </w:r>
          </w:p>
        </w:tc>
        <w:tc>
          <w:tcPr>
            <w:tcW w:w="916" w:type="dxa"/>
            <w:tcBorders>
              <w:top w:val="single" w:sz="2" w:space="0" w:color="8C8D8F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741" w:type="dxa"/>
            <w:tcBorders>
              <w:top w:val="single" w:sz="2" w:space="0" w:color="8C8D8F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1,593,750</w:t>
            </w:r>
          </w:p>
        </w:tc>
        <w:tc>
          <w:tcPr>
            <w:tcW w:w="226" w:type="dxa"/>
            <w:tcBorders>
              <w:top w:val="single" w:sz="2" w:space="0" w:color="8C8D8F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21" w:type="dxa"/>
            <w:tcBorders>
              <w:top w:val="single" w:sz="2" w:space="0" w:color="8C8D8F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</w:tr>
      <w:tr>
        <w:trPr/>
        <w:tc>
          <w:tcPr>
            <w:tcW w:w="2431" w:type="dxa"/>
            <w:tcBorders>
              <w:top w:val="single" w:sz="4" w:space="0" w:color="18333C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Total Termination Benefits</w:t>
            </w:r>
          </w:p>
        </w:tc>
        <w:tc>
          <w:tcPr>
            <w:tcW w:w="1066" w:type="dxa"/>
            <w:tcBorders>
              <w:top w:val="single" w:sz="4" w:space="0" w:color="18333C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17,966,291</w:t>
            </w:r>
          </w:p>
        </w:tc>
        <w:tc>
          <w:tcPr>
            <w:tcW w:w="916" w:type="dxa"/>
            <w:tcBorders>
              <w:top w:val="single" w:sz="4" w:space="0" w:color="18333C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16,015,812</w:t>
            </w:r>
          </w:p>
        </w:tc>
        <w:tc>
          <w:tcPr>
            <w:tcW w:w="1741" w:type="dxa"/>
            <w:tcBorders>
              <w:top w:val="single" w:sz="4" w:space="0" w:color="18333C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18,941,530</w:t>
            </w:r>
          </w:p>
        </w:tc>
        <w:tc>
          <w:tcPr>
            <w:tcW w:w="226" w:type="dxa"/>
            <w:tcBorders>
              <w:top w:val="single" w:sz="4" w:space="0" w:color="18333C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sz w:val="11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sz w:val="11"/>
                <w:u w:val="none"/>
                <w:effect w:val="none"/>
              </w:rPr>
              <w:t>(4)</w:t>
            </w:r>
          </w:p>
        </w:tc>
        <w:tc>
          <w:tcPr>
            <w:tcW w:w="1021" w:type="dxa"/>
            <w:tcBorders>
              <w:top w:val="single" w:sz="4" w:space="0" w:color="18333C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</w:tr>
    </w:tbl>
    <w:p>
      <w:pPr>
        <w:pStyle w:val="TextBody"/>
        <w:bidi w:val="0"/>
        <w:spacing w:lineRule="atLeast" w:line="142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(1)Under Ms. Goldstein’s and Mr. Emerson’s employment agreements, a termination without cause includes a resignation following certain events so as to be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42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deemed a termination by the Company without cause and for Ms. Goldstein, the Company’s non-renewal of the employment agreement. For purposes of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42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Ms. Goldstein’s and Mr. Emerson’s employment agreements, “cause” generally means such person’s continued failure to substantially perform duties under the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42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employment agreement after receipt of notice from the Company, such person’s criminal conviction which is demonstrably injurious to the Company, such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42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person’s felony conviction, such person’s gross negligence which significantly affects the Company or such person’s material failure to adhere to the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42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Company’s material written policies or to cooperate in any investigation or inquiry involving the Company. For purposes of Ms. Goldstein’s and Mr. Emerson’s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42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employment agreements, Ms. Goldstein’s or Mr. Emerson’s resignation in connection with the following events will be tantamount to a termination without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42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cause: a material breach of the employment agreement by the Company, a material diminution in such person’s title, status, position or responsibilities, the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42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Company’s failure to timely pay compensation due under the employment agreement, a material reduction in such person’s salary or any reduction in target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42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bonus, assignment of duties to such person which are materially inconsistent with the duties set forth in the employment agreement, relocation of such person’s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42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principal place of employment beyond 10 miles from its then-current location or the failure of any successor to assume the Company’s obligations under the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42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employment agreement.</w:t>
      </w:r>
    </w:p>
    <w:p>
      <w:pPr>
        <w:pStyle w:val="TextBody"/>
        <w:bidi w:val="0"/>
        <w:spacing w:lineRule="atLeast" w:line="142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(2)The value of the equity awards is calculated by multiplying the number of shares of restricted stock and RSUs that accelerate by the per share closing price of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42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the Company’s common stock of $197.50 on March 31, 2026.</w:t>
      </w:r>
    </w:p>
    <w:p>
      <w:pPr>
        <w:pStyle w:val="TextBody"/>
        <w:bidi w:val="0"/>
        <w:spacing w:lineRule="atLeast" w:line="142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(3)Ms. Goldstein’s employment agreement provides that Ms. Goldstein will be eligible to earn a change in control retention bonus. This change in control retention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42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bonus reflects Ms. Goldstein’s retention during a transition being critical to the Company. Ms. Goldstein is the only individual at the Company who has a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42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retention bonus. A portion of such bonus, equal to three months’ base salary, will be payable upon the closing of a change in control, and a portion of the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42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bonus, equal to three months’ base salary, will be payable on the six month anniversary of such change in control, provided that Ms. Goldstein has continued to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42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be employed by the Company following such change in control through the applicable payment date (or if Ms. Goldstein undergoes an involuntary termination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42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of employment prior to the applicable payment date, including a termination by the Company without cause, a non-renewal of the employment agreement by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42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the Company, or a resignation following the occurrence of certain events or circumstances that will be deemed tantamount to a termination without cause).</w:t>
      </w:r>
    </w:p>
    <w:p>
      <w:pPr>
        <w:pStyle w:val="TextBody"/>
        <w:bidi w:val="0"/>
        <w:spacing w:lineRule="atLeast" w:line="142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(4)In the event that the total amounts payable in connection with a change in control to Ms. Goldstein or Mr. Emerson would trigger an excise tax on “parachute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42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payments” under Section 280G of the Code, then the total amounts payable in the scenarios illustrated in this table would be reduced in order to avoid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42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triggering the excise tax if they would benefit from such reduction as opposed to paying the excise tax.</w:t>
      </w:r>
    </w:p>
    <w:p>
      <w:pPr>
        <w:pStyle w:val="TextBody"/>
        <w:bidi w:val="0"/>
        <w:spacing w:lineRule="atLeast" w:line="142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(5)Reflects the value of accelerated vesting of the fiscal 2025 and 2026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equity awards for Ms. Goldstein, who, as of March 31, 2025, met the age and service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42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requirements for retirement, assuming full vesting of time-vest RSUs, pro-rated vesting of performance-vest RSUs (assuming target levels of achievement)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42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granted in fiscal year 2025, and full vesting of time-based and performance-based RSUs granted in fiscal year 2026 (assuming target levels of achievement).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42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Mr. Emerson did not meet the age requirement for retirement as of March 31, 2026.</w:t>
      </w:r>
    </w:p>
    <w:tbl>
      <w:tblPr>
        <w:tblW w:w="4982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4651"/>
        <w:gridCol w:w="331"/>
      </w:tblGrid>
      <w:tr>
        <w:trPr/>
        <w:tc>
          <w:tcPr>
            <w:tcW w:w="46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651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sz w:val="24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TAKE-TWO INTERACTIVE SOFTWARE, INC.   |   2026</w:t>
            </w:r>
            <w:r>
              <w:rPr>
                <w:caps w:val="false"/>
                <w:smallCaps w:val="false"/>
                <w:strike w:val="false"/>
                <w:dstrike w:val="false"/>
                <w:color w:val="18333C"/>
                <w:sz w:val="24"/>
                <w:u w:val="none"/>
                <w:effect w:val="none"/>
              </w:rPr>
              <w:t xml:space="preserve"> 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 xml:space="preserve">Proxy Statement </w:t>
            </w:r>
          </w:p>
        </w:tc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57</w:t>
            </w:r>
          </w:p>
        </w:tc>
      </w:tr>
    </w:tbl>
    <w:p>
      <w:pPr>
        <w:pStyle w:val="TextBody"/>
        <w:bidi w:val="0"/>
        <w:spacing w:lineRule="atLeast" w:line="142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3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3"/>
          <w:u w:val="none"/>
          <w:effect w:val="none"/>
        </w:rPr>
        <w:t>EXECUTIVE COMPENSATION</w:t>
      </w:r>
    </w:p>
    <w:p>
      <w:pPr>
        <w:pStyle w:val="TextBody"/>
        <w:bidi w:val="0"/>
        <w:spacing w:lineRule="atLeast" w:line="142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2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2"/>
          <w:u w:val="none"/>
          <w:effect w:val="none"/>
        </w:rPr>
        <w:t>CEO PAY RATIO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4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24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24"/>
          <w:u w:val="none"/>
          <w:effect w:val="none"/>
        </w:rPr>
        <w:t>CEO Pay Ratio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Under SEC rules, we are required to provide information regarding the relationship between the annual total compensation of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Mr. Strauss Zelnick, the Company’s Chairman and Chief Executive Officer, and the annual total compensation of the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 xml:space="preserve">Company’s median employee (excluding Mr. Zelnick) for fiscal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2026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. With respect to the annual total compensation of</w:t>
      </w:r>
      <w:r>
        <w:rPr>
          <w:caps w:val="false"/>
          <w:smallCaps w:val="false"/>
          <w:sz w:val="24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Mr. Zelnick, we used both the amount reported in the Summary Compensation Table, as required by Item 402(u) of Regulation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S-K, and, because such amount does not reflect the amount Mr. Zelnick receives from our payments to ZMC, the maximum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amount Mr. Zelnick was eligible to receive from ZMC in connection with the fees paid by us to ZMC under the Management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 xml:space="preserve">Agreement for fiscal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2026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. We believe this provides a better understanding than the ratio based solely on the amount of</w:t>
      </w:r>
      <w:r>
        <w:rPr>
          <w:caps w:val="false"/>
          <w:smallCaps w:val="false"/>
          <w:sz w:val="24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Mr. Zelnick’s compensation reported in the “Total” column in the “Summary Compensation Table” included in this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Proxy Statement.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caps w:val="false"/>
          <w:smallCaps w:val="false"/>
          <w:strike w:val="false"/>
          <w:dstrike w:val="false"/>
          <w:color w:val="18333C"/>
          <w:u w:val="none"/>
          <w:effect w:val="non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Mr. Zelnick’s annual total compensation, as reported in the “Summary Compensation Table” included in this Proxy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Statement, was $403,019.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caps w:val="false"/>
          <w:smallCaps w:val="false"/>
          <w:strike w:val="false"/>
          <w:dstrike w:val="false"/>
          <w:color w:val="18333C"/>
          <w:u w:val="none"/>
          <w:effect w:val="non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The total compensation paid to ZMC in fiscal 2026, as set forth in the “Compensation Discussion and Analysis-Detailed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Discussion and Analysis-Compensation to Executive Chairman and CEO and President-Fiscal 2026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Fees and Incentives to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/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 xml:space="preserve">ZMC” section of this Proxy Statement on </w:t>
      </w:r>
      <w:hyperlink w:anchor="if9a9744ff04c4dc0a4cec436945ba676_10644">
        <w:r>
          <w:rPr>
            <w:rStyle w:val="InternetLink"/>
            <w:rFonts w:ascii="Arial;sans-serif" w:hAnsi="Arial;sans-serif"/>
            <w:b w:val="false"/>
            <w:i w:val="false"/>
            <w:caps w:val="false"/>
            <w:smallCaps w:val="false"/>
            <w:strike w:val="false"/>
            <w:dstrike w:val="false"/>
            <w:color w:val="000000"/>
            <w:sz w:val="18"/>
            <w:u w:val="single"/>
            <w:effect w:val="none"/>
          </w:rPr>
          <w:t>page</w:t>
        </w:r>
      </w:hyperlink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hyperlink w:anchor="if9a9744ff04c4dc0a4cec436945ba676_10644">
        <w:r>
          <w:rPr>
            <w:rStyle w:val="InternetLink"/>
            <w:rFonts w:ascii="Arial;sans-serif" w:hAnsi="Arial;sans-serif"/>
            <w:b w:val="false"/>
            <w:i w:val="false"/>
            <w:caps w:val="false"/>
            <w:smallCaps w:val="false"/>
            <w:strike w:val="false"/>
            <w:dstrike w:val="false"/>
            <w:color w:val="000000"/>
            <w:sz w:val="18"/>
            <w:u w:val="single"/>
            <w:effect w:val="none"/>
          </w:rPr>
          <w:t>37</w:t>
        </w:r>
      </w:hyperlink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, was $66,818,000, and the maximum portion that Mr. Zelnick could have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received was $40,090,800. When combined with the compensation received by Mr. Zelnick from the Company as reported in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the “Summary Compensation Table” included in this Proxy Statement, the total maximum amount of compensation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Mr. Zelnick was eligible to receive was $40,493,819.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caps w:val="false"/>
          <w:smallCaps w:val="false"/>
          <w:strike w:val="false"/>
          <w:dstrike w:val="false"/>
          <w:color w:val="18333C"/>
          <w:u w:val="none"/>
          <w:effect w:val="non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The annual total compensation of the median employee (excluding Mr. Zelnick) of the Company (including our consolidated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subsidiaries) was $86,683.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caps w:val="false"/>
          <w:smallCaps w:val="false"/>
          <w:strike w:val="false"/>
          <w:dstrike w:val="false"/>
          <w:color w:val="18333C"/>
          <w:u w:val="none"/>
          <w:effect w:val="non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Based on the above, for fiscal 2026, the ratio of Mr. Zelnick’s annual total compensation to the annual total compensation of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the median employee was: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caps w:val="false"/>
          <w:smallCaps w:val="false"/>
          <w:strike w:val="false"/>
          <w:dstrike w:val="false"/>
          <w:color w:val="18333C"/>
          <w:u w:val="none"/>
          <w:effect w:val="non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4.65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to 1 based on Mr. Zelnick’s annual total compensation, as reported in the “Summary Compensation Table” included in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this Proxy Statement, or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caps w:val="false"/>
          <w:smallCaps w:val="false"/>
          <w:strike w:val="false"/>
          <w:dstrike w:val="false"/>
          <w:color w:val="18333C"/>
          <w:u w:val="none"/>
          <w:effect w:val="non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467.15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to 1 based on the total maximum amount of compensation Mr. Zelnick was eligible to receive from ZMC and the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Company in fiscal 2026.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This pay ratio is a reasonable estimate calculated in a manner consistent with Item 402(u) of Regulation S-K under the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Securities Act of 1933, as amended. We determined the median of the annual total cash compensation of our employees as of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 xml:space="preserve">January 1,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2026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 xml:space="preserve">, at which time we had approximately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13,198</w:t>
      </w:r>
      <w:r>
        <w:rPr>
          <w:caps w:val="false"/>
          <w:smallCaps w:val="false"/>
          <w:sz w:val="24"/>
          <w:u w:val="singl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regular, temporary, and seasonal individuals employed on a full or</w:t>
      </w:r>
      <w:r>
        <w:rPr>
          <w:caps w:val="false"/>
          <w:smallCaps w:val="false"/>
          <w:sz w:val="24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 xml:space="preserve">part-time basis, globally, approximately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5,102</w:t>
      </w:r>
      <w:r>
        <w:rPr>
          <w:caps w:val="false"/>
          <w:smallCaps w:val="false"/>
          <w:sz w:val="24"/>
          <w:u w:val="singl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 xml:space="preserve">of whom are U.S. employees, and approximately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8,096</w:t>
      </w:r>
      <w:r>
        <w:rPr>
          <w:caps w:val="false"/>
          <w:smallCaps w:val="false"/>
          <w:sz w:val="24"/>
          <w:u w:val="singl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 xml:space="preserve">(or approximately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61.34%</w:t>
      </w:r>
      <w:r>
        <w:rPr>
          <w:caps w:val="false"/>
          <w:smallCaps w:val="false"/>
          <w:sz w:val="24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of our total employee population) of whom are located outside of the United States. We did not exclude any of the employees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who are located outside of the United States from the pool used to identify the median employee.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We then compared the annualized base salaries, bonuses and commissions earned by our employees (other than Mr. Zelnick)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to determine the median employee. Once we identified our median employee, we estimated such employee’s annual total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compensation in accordance with the requirements of Item 402(c)(2)(x) of Regulation S-K, yielding the median annual total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compensation disclosed above. There are a wide variety of job functions within our company, across numerous global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jurisdictions. Accordingly, the compensation paid to our employees differs greatly between departments, experience levels, and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locations. We believe that our employees are fairly compensated and appropriately incentivized.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The SEC rules for identifying the median compensated employee and calculating the pay ratio based on that employee’s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annual total compensation, allow companies to adopt a variety of methodologies, to apply certain exclusions, and to make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reasonable estimates and assumptions that reflect their employee populations and compensation practices. Accordingly, the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pay ratio reported by other companies may not be comparable to the pay ratio reported above, as other companies have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different employee populations and compensation practices and may use different methodologies, exclusions, estimates and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assumptions in calculating their own pay ratios.</w:t>
      </w:r>
    </w:p>
    <w:tbl>
      <w:tblPr>
        <w:tblW w:w="493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301"/>
        <w:gridCol w:w="4636"/>
      </w:tblGrid>
      <w:tr>
        <w:trPr/>
        <w:tc>
          <w:tcPr>
            <w:tcW w:w="30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0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58</w:t>
            </w:r>
          </w:p>
        </w:tc>
        <w:tc>
          <w:tcPr>
            <w:tcW w:w="4636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sz w:val="24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TAKE-TWO INTERACTIVE SOFTWARE, INC.   |   2026</w:t>
            </w:r>
            <w:r>
              <w:rPr>
                <w:caps w:val="false"/>
                <w:smallCaps w:val="false"/>
                <w:strike w:val="false"/>
                <w:dstrike w:val="false"/>
                <w:color w:val="18333C"/>
                <w:sz w:val="24"/>
                <w:u w:val="none"/>
                <w:effect w:val="none"/>
              </w:rPr>
              <w:t xml:space="preserve"> 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Proxy Statement</w:t>
            </w:r>
          </w:p>
        </w:tc>
      </w:tr>
    </w:tbl>
    <w:p>
      <w:pPr>
        <w:pStyle w:val="TextBody"/>
        <w:bidi w:val="0"/>
        <w:spacing w:lineRule="atLeast" w:line="142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3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3"/>
          <w:u w:val="none"/>
          <w:effect w:val="none"/>
        </w:rPr>
        <w:t>EXECUTIVE COMPENSATION</w:t>
      </w:r>
    </w:p>
    <w:p>
      <w:pPr>
        <w:pStyle w:val="TextBody"/>
        <w:bidi w:val="0"/>
        <w:spacing w:lineRule="atLeast" w:line="142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2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2"/>
          <w:u w:val="none"/>
          <w:effect w:val="none"/>
        </w:rPr>
        <w:t>PAY VERSUS PERFORMANCE DISCLOSURE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4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24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24"/>
          <w:u w:val="none"/>
          <w:effect w:val="none"/>
        </w:rPr>
        <w:t>Pay Versus Performance Disclosure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In accordance with rules adopted by the Securities and Exchange Commission pursuant to the Dodd-Frank Wall Street Reform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and Consumer Protection Act of 2010, we provide the following disclosure regarding executive compensation for our principal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executive officer (“PEO”) and Non-PEO NEOs and Company performance for the fiscal years listed below. The Compensation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Committee did not consider the pay versus performance disclosure below in making its pay decisions for any of the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years shown.</w:t>
      </w:r>
    </w:p>
    <w:tbl>
      <w:tblPr>
        <w:tblW w:w="981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976"/>
        <w:gridCol w:w="1276"/>
        <w:gridCol w:w="1276"/>
        <w:gridCol w:w="1276"/>
        <w:gridCol w:w="1276"/>
        <w:gridCol w:w="708"/>
        <w:gridCol w:w="1002"/>
        <w:gridCol w:w="1006"/>
        <w:gridCol w:w="1021"/>
      </w:tblGrid>
      <w:tr>
        <w:trPr/>
        <w:tc>
          <w:tcPr>
            <w:tcW w:w="9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0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2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76" w:type="dxa"/>
            <w:vMerge w:val="restart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Fiscal Year</w:t>
            </w:r>
          </w:p>
        </w:tc>
        <w:tc>
          <w:tcPr>
            <w:tcW w:w="1276" w:type="dxa"/>
            <w:vMerge w:val="restart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Summary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Compensation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Table Total for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PEO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0"/>
                <w:u w:val="none"/>
                <w:effect w:val="none"/>
              </w:rPr>
              <w:t>1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($)</w:t>
            </w:r>
          </w:p>
        </w:tc>
        <w:tc>
          <w:tcPr>
            <w:tcW w:w="1276" w:type="dxa"/>
            <w:vMerge w:val="restart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Compensation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Actually Paid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to PEO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0"/>
                <w:u w:val="none"/>
                <w:effect w:val="none"/>
              </w:rPr>
              <w:t>1,2,3,4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($)</w:t>
            </w:r>
          </w:p>
        </w:tc>
        <w:tc>
          <w:tcPr>
            <w:tcW w:w="1276" w:type="dxa"/>
            <w:vMerge w:val="restart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Average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Summary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Compensation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Table Total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for Non-PEO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NEOs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0"/>
                <w:u w:val="none"/>
                <w:effect w:val="none"/>
              </w:rPr>
              <w:t>1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($)</w:t>
            </w:r>
          </w:p>
        </w:tc>
        <w:tc>
          <w:tcPr>
            <w:tcW w:w="1276" w:type="dxa"/>
            <w:vMerge w:val="restart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Average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Compensation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Actually Paid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to Non-PEO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NEOs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0"/>
                <w:u w:val="none"/>
                <w:effect w:val="none"/>
              </w:rPr>
              <w:t>1,2,3,4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($)</w:t>
            </w:r>
          </w:p>
        </w:tc>
        <w:tc>
          <w:tcPr>
            <w:tcW w:w="1710" w:type="dxa"/>
            <w:gridSpan w:val="2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Value of Initial Fixed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$100 Investment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based on: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0"/>
                <w:u w:val="none"/>
                <w:effect w:val="none"/>
              </w:rPr>
              <w:t>5</w:t>
            </w:r>
          </w:p>
        </w:tc>
        <w:tc>
          <w:tcPr>
            <w:tcW w:w="1006" w:type="dxa"/>
            <w:vMerge w:val="restart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Net Income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($ Millions)</w:t>
            </w:r>
          </w:p>
        </w:tc>
        <w:tc>
          <w:tcPr>
            <w:tcW w:w="1021" w:type="dxa"/>
            <w:vMerge w:val="restart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Adjusted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EBITDA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0"/>
                <w:u w:val="none"/>
                <w:effect w:val="none"/>
              </w:rPr>
              <w:t>6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($ Millions)</w:t>
            </w:r>
          </w:p>
        </w:tc>
      </w:tr>
      <w:tr>
        <w:trPr/>
        <w:tc>
          <w:tcPr>
            <w:tcW w:w="976" w:type="dxa"/>
            <w:vMerge w:val="continue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76" w:type="dxa"/>
            <w:vMerge w:val="continue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76" w:type="dxa"/>
            <w:vMerge w:val="continue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76" w:type="dxa"/>
            <w:vMerge w:val="continue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76" w:type="dxa"/>
            <w:vMerge w:val="continue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08" w:type="dxa"/>
            <w:tcBorders>
              <w:top w:val="single" w:sz="4" w:space="0" w:color="18333C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TSR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($)</w:t>
            </w:r>
          </w:p>
        </w:tc>
        <w:tc>
          <w:tcPr>
            <w:tcW w:w="1002" w:type="dxa"/>
            <w:tcBorders>
              <w:top w:val="single" w:sz="4" w:space="0" w:color="18333C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Peer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Group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TSR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($)</w:t>
            </w:r>
          </w:p>
        </w:tc>
        <w:tc>
          <w:tcPr>
            <w:tcW w:w="1006" w:type="dxa"/>
            <w:vMerge w:val="continue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76" w:type="dxa"/>
            <w:tcBorders>
              <w:top w:val="single" w:sz="4" w:space="0" w:color="18333C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2026</w:t>
            </w:r>
          </w:p>
        </w:tc>
        <w:tc>
          <w:tcPr>
            <w:tcW w:w="1276" w:type="dxa"/>
            <w:tcBorders>
              <w:top w:val="single" w:sz="4" w:space="0" w:color="18333C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403,019</w:t>
            </w:r>
          </w:p>
        </w:tc>
        <w:tc>
          <w:tcPr>
            <w:tcW w:w="1276" w:type="dxa"/>
            <w:tcBorders>
              <w:top w:val="single" w:sz="4" w:space="0" w:color="18333C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403,019</w:t>
            </w:r>
          </w:p>
        </w:tc>
        <w:tc>
          <w:tcPr>
            <w:tcW w:w="1276" w:type="dxa"/>
            <w:tcBorders>
              <w:top w:val="single" w:sz="4" w:space="0" w:color="18333C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6,429,468</w:t>
            </w:r>
          </w:p>
        </w:tc>
        <w:tc>
          <w:tcPr>
            <w:tcW w:w="1276" w:type="dxa"/>
            <w:tcBorders>
              <w:top w:val="single" w:sz="4" w:space="0" w:color="18333C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5,123,009</w:t>
            </w:r>
          </w:p>
        </w:tc>
        <w:tc>
          <w:tcPr>
            <w:tcW w:w="708" w:type="dxa"/>
            <w:tcBorders>
              <w:top w:val="single" w:sz="4" w:space="0" w:color="18333C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112</w:t>
            </w:r>
          </w:p>
        </w:tc>
        <w:tc>
          <w:tcPr>
            <w:tcW w:w="1002" w:type="dxa"/>
            <w:tcBorders>
              <w:top w:val="single" w:sz="4" w:space="0" w:color="18333C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137</w:t>
            </w:r>
          </w:p>
        </w:tc>
        <w:tc>
          <w:tcPr>
            <w:tcW w:w="1006" w:type="dxa"/>
            <w:tcBorders>
              <w:top w:val="single" w:sz="4" w:space="0" w:color="18333C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(298.2)</w:t>
            </w:r>
          </w:p>
        </w:tc>
        <w:tc>
          <w:tcPr>
            <w:tcW w:w="1021" w:type="dxa"/>
            <w:tcBorders>
              <w:top w:val="single" w:sz="4" w:space="0" w:color="18333C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1,401.6</w:t>
            </w:r>
          </w:p>
        </w:tc>
      </w:tr>
      <w:tr>
        <w:trPr/>
        <w:tc>
          <w:tcPr>
            <w:tcW w:w="97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2025</w:t>
            </w:r>
          </w:p>
        </w:tc>
        <w:tc>
          <w:tcPr>
            <w:tcW w:w="127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106,457</w:t>
            </w:r>
          </w:p>
        </w:tc>
        <w:tc>
          <w:tcPr>
            <w:tcW w:w="127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106,457</w:t>
            </w:r>
          </w:p>
        </w:tc>
        <w:tc>
          <w:tcPr>
            <w:tcW w:w="127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6,445,720</w:t>
            </w:r>
          </w:p>
        </w:tc>
        <w:tc>
          <w:tcPr>
            <w:tcW w:w="127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18,396,613</w:t>
            </w:r>
          </w:p>
        </w:tc>
        <w:tc>
          <w:tcPr>
            <w:tcW w:w="708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117</w:t>
            </w:r>
          </w:p>
        </w:tc>
        <w:tc>
          <w:tcPr>
            <w:tcW w:w="1002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129</w:t>
            </w:r>
          </w:p>
        </w:tc>
        <w:tc>
          <w:tcPr>
            <w:tcW w:w="100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(4,478.9)</w:t>
            </w:r>
          </w:p>
        </w:tc>
        <w:tc>
          <w:tcPr>
            <w:tcW w:w="1021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901.0</w:t>
            </w:r>
          </w:p>
        </w:tc>
      </w:tr>
      <w:tr>
        <w:trPr/>
        <w:tc>
          <w:tcPr>
            <w:tcW w:w="97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2024</w:t>
            </w:r>
          </w:p>
        </w:tc>
        <w:tc>
          <w:tcPr>
            <w:tcW w:w="127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274,074</w:t>
            </w:r>
          </w:p>
        </w:tc>
        <w:tc>
          <w:tcPr>
            <w:tcW w:w="127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274,074</w:t>
            </w:r>
          </w:p>
        </w:tc>
        <w:tc>
          <w:tcPr>
            <w:tcW w:w="127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5,788,486</w:t>
            </w:r>
          </w:p>
        </w:tc>
        <w:tc>
          <w:tcPr>
            <w:tcW w:w="127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6,261,216</w:t>
            </w:r>
          </w:p>
        </w:tc>
        <w:tc>
          <w:tcPr>
            <w:tcW w:w="708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84</w:t>
            </w:r>
          </w:p>
        </w:tc>
        <w:tc>
          <w:tcPr>
            <w:tcW w:w="1002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121</w:t>
            </w:r>
          </w:p>
        </w:tc>
        <w:tc>
          <w:tcPr>
            <w:tcW w:w="100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(3,744.2)</w:t>
            </w:r>
          </w:p>
        </w:tc>
        <w:tc>
          <w:tcPr>
            <w:tcW w:w="1021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845.2</w:t>
            </w:r>
          </w:p>
        </w:tc>
      </w:tr>
      <w:tr>
        <w:trPr/>
        <w:tc>
          <w:tcPr>
            <w:tcW w:w="97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2023</w:t>
            </w:r>
          </w:p>
        </w:tc>
        <w:tc>
          <w:tcPr>
            <w:tcW w:w="127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115,015</w:t>
            </w:r>
          </w:p>
        </w:tc>
        <w:tc>
          <w:tcPr>
            <w:tcW w:w="127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115,015</w:t>
            </w:r>
          </w:p>
        </w:tc>
        <w:tc>
          <w:tcPr>
            <w:tcW w:w="127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6,495,652</w:t>
            </w:r>
          </w:p>
        </w:tc>
        <w:tc>
          <w:tcPr>
            <w:tcW w:w="127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4,231,852</w:t>
            </w:r>
          </w:p>
        </w:tc>
        <w:tc>
          <w:tcPr>
            <w:tcW w:w="708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68</w:t>
            </w:r>
          </w:p>
        </w:tc>
        <w:tc>
          <w:tcPr>
            <w:tcW w:w="1002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97</w:t>
            </w:r>
          </w:p>
        </w:tc>
        <w:tc>
          <w:tcPr>
            <w:tcW w:w="100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(1,124.7)</w:t>
            </w:r>
          </w:p>
        </w:tc>
        <w:tc>
          <w:tcPr>
            <w:tcW w:w="1021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940.6</w:t>
            </w:r>
          </w:p>
        </w:tc>
      </w:tr>
      <w:tr>
        <w:trPr/>
        <w:tc>
          <w:tcPr>
            <w:tcW w:w="976" w:type="dxa"/>
            <w:tcBorders>
              <w:top w:val="single" w:sz="2" w:space="0" w:color="8C8D8F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2022</w:t>
            </w:r>
          </w:p>
        </w:tc>
        <w:tc>
          <w:tcPr>
            <w:tcW w:w="1276" w:type="dxa"/>
            <w:tcBorders>
              <w:top w:val="single" w:sz="2" w:space="0" w:color="8C8D8F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142,996</w:t>
            </w:r>
          </w:p>
        </w:tc>
        <w:tc>
          <w:tcPr>
            <w:tcW w:w="1276" w:type="dxa"/>
            <w:tcBorders>
              <w:top w:val="single" w:sz="2" w:space="0" w:color="8C8D8F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142,996</w:t>
            </w:r>
          </w:p>
        </w:tc>
        <w:tc>
          <w:tcPr>
            <w:tcW w:w="1276" w:type="dxa"/>
            <w:tcBorders>
              <w:top w:val="single" w:sz="2" w:space="0" w:color="8C8D8F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3,316,198</w:t>
            </w:r>
          </w:p>
        </w:tc>
        <w:tc>
          <w:tcPr>
            <w:tcW w:w="1276" w:type="dxa"/>
            <w:tcBorders>
              <w:top w:val="single" w:sz="2" w:space="0" w:color="8C8D8F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2,134,073</w:t>
            </w:r>
          </w:p>
        </w:tc>
        <w:tc>
          <w:tcPr>
            <w:tcW w:w="708" w:type="dxa"/>
            <w:tcBorders>
              <w:top w:val="single" w:sz="2" w:space="0" w:color="8C8D8F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87</w:t>
            </w:r>
          </w:p>
        </w:tc>
        <w:tc>
          <w:tcPr>
            <w:tcW w:w="1002" w:type="dxa"/>
            <w:tcBorders>
              <w:top w:val="single" w:sz="2" w:space="0" w:color="8C8D8F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107</w:t>
            </w:r>
          </w:p>
        </w:tc>
        <w:tc>
          <w:tcPr>
            <w:tcW w:w="1006" w:type="dxa"/>
            <w:tcBorders>
              <w:top w:val="single" w:sz="2" w:space="0" w:color="8C8D8F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418.0</w:t>
            </w:r>
          </w:p>
        </w:tc>
        <w:tc>
          <w:tcPr>
            <w:tcW w:w="1021" w:type="dxa"/>
            <w:tcBorders>
              <w:top w:val="single" w:sz="2" w:space="0" w:color="8C8D8F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827.2</w:t>
            </w:r>
          </w:p>
        </w:tc>
      </w:tr>
    </w:tbl>
    <w:p>
      <w:pPr>
        <w:pStyle w:val="TextBody"/>
        <w:bidi w:val="0"/>
        <w:spacing w:lineRule="atLeast" w:line="142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(1)Strauss Zelnick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> 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was our PEO for each fiscal year presented. The individuals comprising the Non-PEO NEOs for each fiscal year presented were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42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Lainie Goldstein, Karl Slatoff, and Daniel Emerson.</w:t>
      </w:r>
    </w:p>
    <w:p>
      <w:pPr>
        <w:pStyle w:val="TextBody"/>
        <w:bidi w:val="0"/>
        <w:spacing w:lineRule="atLeast" w:line="142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(2)The amounts shown for Compensation Actually Paid have been calculated in accordance with Item 402(v) of Regulation S-K and do not reflect compensation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42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actually earned, realized, or received by the Company’s NEOs. These amounts reflect the Summary Compensation Table Total with certain adjustments as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42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described in footnote 4 below.</w:t>
      </w:r>
    </w:p>
    <w:p>
      <w:pPr>
        <w:pStyle w:val="TextBody"/>
        <w:bidi w:val="0"/>
        <w:spacing w:lineRule="atLeast" w:line="142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(3)Messrs. Zelnick and Slatoff were compensated for their respective services to the Company under the 2022 Management Agreement and, prior to May 23,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42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2022, the 2017 Management Agreement. The provisions of the 2022 Management Agreement and the 2017 Management Agreement establish the payments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42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and benefits to which ZMC is entitled as consideration for providing the services set forth therein. In general, in connection with their provision of services to the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42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Company, the actual amount of compensation received by Messrs. Zelnick and Slatoff is determined in the sole discretion of ZMC and without the Company’s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42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knowledge, except that, under the terms of the 2022 Management Agreement and the 2017 Management Agreement, Mr. Zelnick may not receive more than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42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60% of the payments and benefits made to ZMC and Mr. Slatoff may not receive more than 40% of the payments and benefits made to ZMC. Amounts paid by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42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ZMC to Messrs. Zelnick and Slatoff are not included in this disclosure.</w:t>
      </w:r>
    </w:p>
    <w:p>
      <w:pPr>
        <w:pStyle w:val="TextBody"/>
        <w:bidi w:val="0"/>
        <w:spacing w:lineRule="atLeast" w:line="142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(4)Compensation Actually Paid reflects the exclusions and inclusions of certain amounts for the PEO and Non-PEO NEOs as set forth below. Equity values are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42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calculated in accordance with ASC Topic 718. Amounts in the Exclusion of Stock Awards column are the totals from the Stock Awards column set forth in the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42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Summary Compensation Table.</w:t>
      </w:r>
    </w:p>
    <w:tbl>
      <w:tblPr>
        <w:tblW w:w="675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856"/>
        <w:gridCol w:w="1666"/>
        <w:gridCol w:w="1306"/>
        <w:gridCol w:w="1306"/>
        <w:gridCol w:w="1621"/>
      </w:tblGrid>
      <w:tr>
        <w:trPr/>
        <w:tc>
          <w:tcPr>
            <w:tcW w:w="85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6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2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856" w:type="dxa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Fiscal Year</w:t>
            </w:r>
          </w:p>
        </w:tc>
        <w:tc>
          <w:tcPr>
            <w:tcW w:w="1666" w:type="dxa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Summary Compensation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Table Total for PEO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($)</w:t>
            </w:r>
          </w:p>
        </w:tc>
        <w:tc>
          <w:tcPr>
            <w:tcW w:w="1306" w:type="dxa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Exclusion of Stock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Awards for PEO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($)</w:t>
            </w:r>
          </w:p>
        </w:tc>
        <w:tc>
          <w:tcPr>
            <w:tcW w:w="1306" w:type="dxa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Inclusion of Equity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Values for PEO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($)</w:t>
            </w:r>
          </w:p>
        </w:tc>
        <w:tc>
          <w:tcPr>
            <w:tcW w:w="1621" w:type="dxa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Compensation Actually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Paid to PEO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($)</w:t>
            </w:r>
          </w:p>
        </w:tc>
      </w:tr>
      <w:tr>
        <w:trPr/>
        <w:tc>
          <w:tcPr>
            <w:tcW w:w="856" w:type="dxa"/>
            <w:tcBorders>
              <w:top w:val="single" w:sz="4" w:space="0" w:color="18333C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2026</w:t>
            </w:r>
          </w:p>
        </w:tc>
        <w:tc>
          <w:tcPr>
            <w:tcW w:w="1666" w:type="dxa"/>
            <w:tcBorders>
              <w:top w:val="single" w:sz="4" w:space="0" w:color="18333C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403,019</w:t>
            </w:r>
          </w:p>
        </w:tc>
        <w:tc>
          <w:tcPr>
            <w:tcW w:w="1306" w:type="dxa"/>
            <w:tcBorders>
              <w:top w:val="single" w:sz="4" w:space="0" w:color="18333C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306" w:type="dxa"/>
            <w:tcBorders>
              <w:top w:val="single" w:sz="4" w:space="0" w:color="18333C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621" w:type="dxa"/>
            <w:tcBorders>
              <w:top w:val="single" w:sz="4" w:space="0" w:color="18333C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403,019</w:t>
            </w:r>
          </w:p>
        </w:tc>
      </w:tr>
    </w:tbl>
    <w:tbl>
      <w:tblPr>
        <w:tblW w:w="7040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856"/>
        <w:gridCol w:w="1666"/>
        <w:gridCol w:w="1471"/>
        <w:gridCol w:w="1426"/>
        <w:gridCol w:w="1621"/>
      </w:tblGrid>
      <w:tr>
        <w:trPr/>
        <w:tc>
          <w:tcPr>
            <w:tcW w:w="85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6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2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856" w:type="dxa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Fiscal Year</w:t>
            </w:r>
          </w:p>
        </w:tc>
        <w:tc>
          <w:tcPr>
            <w:tcW w:w="1666" w:type="dxa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Average Summary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Compensation Table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Total for Non-PEO NEOs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($)</w:t>
            </w:r>
          </w:p>
        </w:tc>
        <w:tc>
          <w:tcPr>
            <w:tcW w:w="1471" w:type="dxa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Average Exclusion of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Stock Awards for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Non-PEO NEOs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($)</w:t>
            </w:r>
          </w:p>
        </w:tc>
        <w:tc>
          <w:tcPr>
            <w:tcW w:w="1426" w:type="dxa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Average Inclusion of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Equity Values for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Non-PEO NEOs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($)</w:t>
            </w:r>
          </w:p>
        </w:tc>
        <w:tc>
          <w:tcPr>
            <w:tcW w:w="1621" w:type="dxa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Average Compensation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Actually Paid to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Non-PEO NEOs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($)</w:t>
            </w:r>
          </w:p>
        </w:tc>
      </w:tr>
      <w:tr>
        <w:trPr/>
        <w:tc>
          <w:tcPr>
            <w:tcW w:w="856" w:type="dxa"/>
            <w:tcBorders>
              <w:top w:val="single" w:sz="4" w:space="0" w:color="18333C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2026</w:t>
            </w:r>
          </w:p>
        </w:tc>
        <w:tc>
          <w:tcPr>
            <w:tcW w:w="1666" w:type="dxa"/>
            <w:tcBorders>
              <w:top w:val="single" w:sz="4" w:space="0" w:color="18333C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6,429,468</w:t>
            </w:r>
          </w:p>
        </w:tc>
        <w:tc>
          <w:tcPr>
            <w:tcW w:w="1471" w:type="dxa"/>
            <w:tcBorders>
              <w:top w:val="single" w:sz="4" w:space="0" w:color="18333C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(4,095,163)</w:t>
            </w:r>
          </w:p>
        </w:tc>
        <w:tc>
          <w:tcPr>
            <w:tcW w:w="1426" w:type="dxa"/>
            <w:tcBorders>
              <w:top w:val="single" w:sz="4" w:space="0" w:color="18333C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 xml:space="preserve">2,788,704 </w:t>
            </w:r>
          </w:p>
        </w:tc>
        <w:tc>
          <w:tcPr>
            <w:tcW w:w="1621" w:type="dxa"/>
            <w:tcBorders>
              <w:top w:val="single" w:sz="4" w:space="0" w:color="18333C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 xml:space="preserve">5,123,009 </w:t>
            </w:r>
          </w:p>
        </w:tc>
      </w:tr>
    </w:tbl>
    <w:tbl>
      <w:tblPr>
        <w:tblW w:w="4982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4651"/>
        <w:gridCol w:w="331"/>
      </w:tblGrid>
      <w:tr>
        <w:trPr/>
        <w:tc>
          <w:tcPr>
            <w:tcW w:w="46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651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sz w:val="24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TAKE-TWO INTERACTIVE SOFTWARE, INC.   |   2026</w:t>
            </w:r>
            <w:r>
              <w:rPr>
                <w:caps w:val="false"/>
                <w:smallCaps w:val="false"/>
                <w:strike w:val="false"/>
                <w:dstrike w:val="false"/>
                <w:color w:val="18333C"/>
                <w:sz w:val="24"/>
                <w:u w:val="none"/>
                <w:effect w:val="none"/>
              </w:rPr>
              <w:t xml:space="preserve"> 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 xml:space="preserve">Proxy Statement </w:t>
            </w:r>
          </w:p>
        </w:tc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59</w:t>
            </w:r>
          </w:p>
        </w:tc>
      </w:tr>
    </w:tbl>
    <w:p>
      <w:pPr>
        <w:pStyle w:val="TextBody"/>
        <w:bidi w:val="0"/>
        <w:spacing w:lineRule="atLeast" w:line="142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3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3"/>
          <w:u w:val="none"/>
          <w:effect w:val="none"/>
        </w:rPr>
        <w:t>EXECUTIVE COMPENSATION</w:t>
      </w:r>
    </w:p>
    <w:p>
      <w:pPr>
        <w:pStyle w:val="TextBody"/>
        <w:bidi w:val="0"/>
        <w:spacing w:lineRule="atLeast" w:line="142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2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2"/>
          <w:u w:val="none"/>
          <w:effect w:val="none"/>
        </w:rPr>
        <w:t>PAY VERSUS PERFORMANCE DISCLOSURE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The amounts in the Inclusion of Equity Values in the tables above are derived from the amounts set forth in the following tables:</w:t>
      </w:r>
    </w:p>
    <w:tbl>
      <w:tblPr>
        <w:tblW w:w="8168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856"/>
        <w:gridCol w:w="1051"/>
        <w:gridCol w:w="1036"/>
        <w:gridCol w:w="1036"/>
        <w:gridCol w:w="1036"/>
        <w:gridCol w:w="1036"/>
        <w:gridCol w:w="1081"/>
        <w:gridCol w:w="1036"/>
      </w:tblGrid>
      <w:tr>
        <w:trPr/>
        <w:tc>
          <w:tcPr>
            <w:tcW w:w="85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8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856" w:type="dxa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Fiscal Year</w:t>
            </w:r>
          </w:p>
        </w:tc>
        <w:tc>
          <w:tcPr>
            <w:tcW w:w="1051" w:type="dxa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Year-End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Fair Value of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Equity Awards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Granted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During Year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That Remained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Unvested as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of Last Day of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Year for PEO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($)</w:t>
            </w:r>
          </w:p>
        </w:tc>
        <w:tc>
          <w:tcPr>
            <w:tcW w:w="1036" w:type="dxa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Change in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Fair Value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from Last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Day of Prior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Year to Last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Day of Year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of Unvested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Equity Awards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for PEO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($)</w:t>
            </w:r>
          </w:p>
        </w:tc>
        <w:tc>
          <w:tcPr>
            <w:tcW w:w="1036" w:type="dxa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Vesting-Date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Fair Value of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Equity Awards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Granted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During Year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that Vested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During Year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for PEO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($)</w:t>
            </w:r>
          </w:p>
        </w:tc>
        <w:tc>
          <w:tcPr>
            <w:tcW w:w="1036" w:type="dxa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Change in Fair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Value from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Last Day of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Prior Year to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Vesting Date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of Unvested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Equity Awards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that Vested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During Year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for PEO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($)</w:t>
            </w:r>
          </w:p>
        </w:tc>
        <w:tc>
          <w:tcPr>
            <w:tcW w:w="1036" w:type="dxa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Fair Value at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Last Day of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Prior Year of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Equity Awards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Forfeited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During Year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for PEO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($)</w:t>
            </w:r>
          </w:p>
        </w:tc>
        <w:tc>
          <w:tcPr>
            <w:tcW w:w="1081" w:type="dxa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Value of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Dividends or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Other Earnings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Paid on Equity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Awards Not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Otherwise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Included for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PEO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($)</w:t>
            </w:r>
          </w:p>
        </w:tc>
        <w:tc>
          <w:tcPr>
            <w:tcW w:w="1036" w:type="dxa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Total-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Inclusion of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Equity Values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for PEO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($)</w:t>
            </w:r>
          </w:p>
        </w:tc>
      </w:tr>
      <w:tr>
        <w:trPr/>
        <w:tc>
          <w:tcPr>
            <w:tcW w:w="856" w:type="dxa"/>
            <w:tcBorders>
              <w:top w:val="single" w:sz="4" w:space="0" w:color="18333C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2026</w:t>
            </w:r>
          </w:p>
        </w:tc>
        <w:tc>
          <w:tcPr>
            <w:tcW w:w="1051" w:type="dxa"/>
            <w:tcBorders>
              <w:top w:val="single" w:sz="4" w:space="0" w:color="18333C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36" w:type="dxa"/>
            <w:tcBorders>
              <w:top w:val="single" w:sz="4" w:space="0" w:color="18333C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36" w:type="dxa"/>
            <w:tcBorders>
              <w:top w:val="single" w:sz="4" w:space="0" w:color="18333C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36" w:type="dxa"/>
            <w:tcBorders>
              <w:top w:val="single" w:sz="4" w:space="0" w:color="18333C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36" w:type="dxa"/>
            <w:tcBorders>
              <w:top w:val="single" w:sz="4" w:space="0" w:color="18333C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81" w:type="dxa"/>
            <w:tcBorders>
              <w:top w:val="single" w:sz="4" w:space="0" w:color="18333C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36" w:type="dxa"/>
            <w:tcBorders>
              <w:top w:val="single" w:sz="4" w:space="0" w:color="18333C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</w:tr>
    </w:tbl>
    <w:tbl>
      <w:tblPr>
        <w:tblW w:w="8213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856"/>
        <w:gridCol w:w="1051"/>
        <w:gridCol w:w="1036"/>
        <w:gridCol w:w="1036"/>
        <w:gridCol w:w="1036"/>
        <w:gridCol w:w="1036"/>
        <w:gridCol w:w="1036"/>
        <w:gridCol w:w="1126"/>
      </w:tblGrid>
      <w:tr>
        <w:trPr/>
        <w:tc>
          <w:tcPr>
            <w:tcW w:w="85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856" w:type="dxa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Fiscal Year</w:t>
            </w:r>
          </w:p>
        </w:tc>
        <w:tc>
          <w:tcPr>
            <w:tcW w:w="1051" w:type="dxa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Average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Year-End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Fair Value of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Equity Awards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Granted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During Year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That Remained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Unvested as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of Last Day of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Year for Non-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PEO NEOs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($)</w:t>
            </w:r>
          </w:p>
        </w:tc>
        <w:tc>
          <w:tcPr>
            <w:tcW w:w="1036" w:type="dxa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Average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Change in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Fair Value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from Last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Day of Prior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Year to Last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Day of Year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of Unvested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Equity Awards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for Non-PEO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NEOs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($)</w:t>
            </w:r>
          </w:p>
        </w:tc>
        <w:tc>
          <w:tcPr>
            <w:tcW w:w="1036" w:type="dxa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Average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Vesting-Date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Fair Value of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Equity Awards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Granted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During Year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that Vested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During Year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for Non-PEO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NEOs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($)</w:t>
            </w:r>
          </w:p>
        </w:tc>
        <w:tc>
          <w:tcPr>
            <w:tcW w:w="1036" w:type="dxa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Average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Change in Fair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Value from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Last Day of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Prior Year to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Vesting Date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of Unvested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Equity Awards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that Vested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During Year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for Non-PEO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NEOs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($)</w:t>
            </w:r>
          </w:p>
        </w:tc>
        <w:tc>
          <w:tcPr>
            <w:tcW w:w="1036" w:type="dxa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Average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Fair Value at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Last Day of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Prior Year of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Equity Awards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Forfeited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During Year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for Non-PEO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NEOs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($)</w:t>
            </w:r>
          </w:p>
        </w:tc>
        <w:tc>
          <w:tcPr>
            <w:tcW w:w="1036" w:type="dxa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Average Value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of Dividends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or Other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Earnings Paid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on Equity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Awards Not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Otherwise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Included for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Non-PEO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NEOs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($)</w:t>
            </w:r>
          </w:p>
        </w:tc>
        <w:tc>
          <w:tcPr>
            <w:tcW w:w="1126" w:type="dxa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Total - Average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Inclusion of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Equity Values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for Non-PEO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NEOs</w:t>
            </w:r>
          </w:p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($)</w:t>
            </w:r>
          </w:p>
        </w:tc>
      </w:tr>
      <w:tr>
        <w:trPr/>
        <w:tc>
          <w:tcPr>
            <w:tcW w:w="856" w:type="dxa"/>
            <w:tcBorders>
              <w:top w:val="single" w:sz="4" w:space="0" w:color="18333C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2026</w:t>
            </w:r>
          </w:p>
        </w:tc>
        <w:tc>
          <w:tcPr>
            <w:tcW w:w="1051" w:type="dxa"/>
            <w:tcBorders>
              <w:top w:val="single" w:sz="4" w:space="0" w:color="18333C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 xml:space="preserve">3,679,497 </w:t>
            </w:r>
          </w:p>
        </w:tc>
        <w:tc>
          <w:tcPr>
            <w:tcW w:w="1036" w:type="dxa"/>
            <w:tcBorders>
              <w:top w:val="single" w:sz="4" w:space="0" w:color="18333C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(1,780,616)</w:t>
            </w:r>
          </w:p>
        </w:tc>
        <w:tc>
          <w:tcPr>
            <w:tcW w:w="1036" w:type="dxa"/>
            <w:tcBorders>
              <w:top w:val="single" w:sz="4" w:space="0" w:color="18333C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36" w:type="dxa"/>
            <w:tcBorders>
              <w:top w:val="single" w:sz="4" w:space="0" w:color="18333C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889,823</w:t>
            </w:r>
          </w:p>
        </w:tc>
        <w:tc>
          <w:tcPr>
            <w:tcW w:w="1036" w:type="dxa"/>
            <w:tcBorders>
              <w:top w:val="single" w:sz="4" w:space="0" w:color="18333C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036" w:type="dxa"/>
            <w:tcBorders>
              <w:top w:val="single" w:sz="4" w:space="0" w:color="18333C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126" w:type="dxa"/>
            <w:tcBorders>
              <w:top w:val="single" w:sz="4" w:space="0" w:color="18333C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2,788,704</w:t>
            </w:r>
          </w:p>
        </w:tc>
      </w:tr>
    </w:tbl>
    <w:p>
      <w:pPr>
        <w:pStyle w:val="TextBody"/>
        <w:bidi w:val="0"/>
        <w:spacing w:lineRule="atLeast" w:line="142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(5)The Peer Group TSR set forth in this table utilizes the RDG Technology Composite Index, which we have also utilized in the stock performance graph required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42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by Item 201(e) of Regulation S-K included in our Annual Report on Form 10-K for the year ended March 31, 2026. The comparison assumes $100 was invested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42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for the period starting March 31, 2021, through the end of the listed fiscal year in the Company and in the RDG Technology Composite Index, respectively.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42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Historical stock performance is not necessarily indicative of future stock performance.</w:t>
      </w:r>
    </w:p>
    <w:p>
      <w:pPr>
        <w:pStyle w:val="TextBody"/>
        <w:bidi w:val="0"/>
        <w:spacing w:lineRule="atLeast" w:line="142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(6)We determined Adjusted EBITDA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to be the most important financial performance measure used to link Company performance to Compensation Actually Paid to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42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our NEOs in fiscal 2026. Adjusted EBITDA is a non-GAAP measure, which is defined as GAAP net income (loss) excluding the change in deferred net revenue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42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and related cost of revenue, stock-based compensation, business reorganization, interest expense (income), depreciation and amortization, amortization and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42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impairment of intangible assets, bonus, income taxes, fair value adjustments related to certain equity investments and acquisition-related costs. A reconciliation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42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of GAAP net income to Adjusted EBITDA for fiscal 2026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is provided in Annex A. Adjusted EBITDA may not have been the most important financial performance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42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measure in prior fiscal years, and we may determine a different financial performance measure to be the most important financial performance measure in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42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future fiscal years.</w:t>
      </w:r>
    </w:p>
    <w:tbl>
      <w:tblPr>
        <w:tblW w:w="493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301"/>
        <w:gridCol w:w="4636"/>
      </w:tblGrid>
      <w:tr>
        <w:trPr/>
        <w:tc>
          <w:tcPr>
            <w:tcW w:w="30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0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60</w:t>
            </w:r>
          </w:p>
        </w:tc>
        <w:tc>
          <w:tcPr>
            <w:tcW w:w="4636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sz w:val="24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TAKE-TWO INTERACTIVE SOFTWARE, INC.   |   2026</w:t>
            </w:r>
            <w:r>
              <w:rPr>
                <w:caps w:val="false"/>
                <w:smallCaps w:val="false"/>
                <w:strike w:val="false"/>
                <w:dstrike w:val="false"/>
                <w:color w:val="18333C"/>
                <w:sz w:val="24"/>
                <w:u w:val="none"/>
                <w:effect w:val="none"/>
              </w:rPr>
              <w:t xml:space="preserve"> 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Proxy Statement</w:t>
            </w:r>
          </w:p>
        </w:tc>
      </w:tr>
    </w:tbl>
    <w:p>
      <w:pPr>
        <w:pStyle w:val="TextBody"/>
        <w:bidi w:val="0"/>
        <w:spacing w:lineRule="atLeast" w:line="142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3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3"/>
          <w:u w:val="none"/>
          <w:effect w:val="none"/>
        </w:rPr>
        <w:t>EXECUTIVE COMPENSATION</w:t>
      </w:r>
    </w:p>
    <w:p>
      <w:pPr>
        <w:pStyle w:val="TextBody"/>
        <w:bidi w:val="0"/>
        <w:spacing w:lineRule="atLeast" w:line="142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2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2"/>
          <w:u w:val="none"/>
          <w:effect w:val="none"/>
        </w:rPr>
        <w:t>PAY VERSUS PERFORMANCE DISCLOSURE</w:t>
      </w:r>
    </w:p>
    <w:p>
      <w:pPr>
        <w:pStyle w:val="TextBody"/>
        <w:bidi w:val="0"/>
        <w:spacing w:lineRule="atLeast" w:line="19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64BFA6"/>
          <w:sz w:val="19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64BFA6"/>
          <w:sz w:val="19"/>
          <w:u w:val="none"/>
          <w:effect w:val="none"/>
        </w:rPr>
        <w:t>Relationship Between PEO and Non-PEO NEO Compensation Actually Paid and Adjusted EBITDA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The following chart sets forth the relationship between Compensation Actually Paid to our PEO, the average of Compensation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Actually Paid to our Non-PEO NEOs, and our Adjusted EBITDA during the five most recently completed fiscal years.</w:t>
      </w:r>
    </w:p>
    <w:p>
      <w:pPr>
        <w:pStyle w:val="TextBody"/>
        <w:bidi w:val="0"/>
        <w:spacing w:before="0" w:after="0"/>
        <w:jc w:val="both"/>
        <w:rPr>
          <w:u w:val="single"/>
        </w:rPr>
      </w:pPr>
      <w:r>
        <w:rPr>
          <w:u w:val="single"/>
        </w:rPr>
        <w:drawing>
          <wp:inline distT="0" distB="0" distL="0" distR="0">
            <wp:extent cx="6446520" cy="3534410"/>
            <wp:effectExtent l="0" t="0" r="0" b="0"/>
            <wp:docPr id="289" name="Image289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9" name="Image289" descr=""/>
                    <pic:cNvPicPr>
                      <a:picLocks noChangeAspect="1" noChangeArrowheads="1"/>
                    </pic:cNvPicPr>
                  </pic:nvPicPr>
                  <pic:blipFill>
                    <a:blip r:embed="rId29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46520" cy="35344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294" w:name="i-289"/>
      <w:bookmarkEnd w:id="294"/>
    </w:p>
    <w:tbl>
      <w:tblPr>
        <w:tblW w:w="4982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4651"/>
        <w:gridCol w:w="331"/>
      </w:tblGrid>
      <w:tr>
        <w:trPr/>
        <w:tc>
          <w:tcPr>
            <w:tcW w:w="46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651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sz w:val="24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TAKE-TWO INTERACTIVE SOFTWARE, INC.   |   2026</w:t>
            </w:r>
            <w:r>
              <w:rPr>
                <w:caps w:val="false"/>
                <w:smallCaps w:val="false"/>
                <w:strike w:val="false"/>
                <w:dstrike w:val="false"/>
                <w:color w:val="18333C"/>
                <w:sz w:val="24"/>
                <w:u w:val="none"/>
                <w:effect w:val="none"/>
              </w:rPr>
              <w:t xml:space="preserve"> 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 xml:space="preserve">Proxy Statement </w:t>
            </w:r>
          </w:p>
        </w:tc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61</w:t>
            </w:r>
          </w:p>
        </w:tc>
      </w:tr>
    </w:tbl>
    <w:p>
      <w:pPr>
        <w:pStyle w:val="TextBody"/>
        <w:bidi w:val="0"/>
        <w:spacing w:lineRule="atLeast" w:line="142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3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3"/>
          <w:u w:val="none"/>
          <w:effect w:val="none"/>
        </w:rPr>
        <w:t>EXECUTIVE COMPENSATION</w:t>
      </w:r>
    </w:p>
    <w:p>
      <w:pPr>
        <w:pStyle w:val="TextBody"/>
        <w:bidi w:val="0"/>
        <w:spacing w:lineRule="atLeast" w:line="142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2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2"/>
          <w:u w:val="none"/>
          <w:effect w:val="none"/>
        </w:rPr>
        <w:t>PAY VERSUS PERFORMANCE DISCLOSURE</w:t>
      </w:r>
    </w:p>
    <w:p>
      <w:pPr>
        <w:pStyle w:val="TextBody"/>
        <w:bidi w:val="0"/>
        <w:spacing w:lineRule="atLeast" w:line="19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64BFA6"/>
          <w:sz w:val="19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64BFA6"/>
          <w:sz w:val="19"/>
          <w:u w:val="none"/>
          <w:effect w:val="none"/>
        </w:rPr>
        <w:t xml:space="preserve">Relationship Between PEO and Non-PEO NEO Compensation Actually Paid and Total Shareholder </w:t>
      </w:r>
    </w:p>
    <w:p>
      <w:pPr>
        <w:pStyle w:val="TextBody"/>
        <w:bidi w:val="0"/>
        <w:spacing w:lineRule="atLeast" w:line="19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64BFA6"/>
          <w:sz w:val="19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64BFA6"/>
          <w:sz w:val="19"/>
          <w:u w:val="none"/>
          <w:effect w:val="none"/>
        </w:rPr>
        <w:t>Return (“TSR”)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The following chart sets forth the relationship between Compensation Actually Paid to our PEO, the average of Compensation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Actually Paid to our Non-PEO NEOs, and the cumulative TSR over the five most recently completed fiscal years for the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Company and the RDG Technology Composite Index.</w:t>
      </w:r>
    </w:p>
    <w:p>
      <w:pPr>
        <w:pStyle w:val="TextBody"/>
        <w:bidi w:val="0"/>
        <w:spacing w:before="0" w:after="0"/>
        <w:jc w:val="both"/>
        <w:rPr>
          <w:u w:val="single"/>
        </w:rPr>
      </w:pPr>
      <w:r>
        <w:rPr>
          <w:u w:val="single"/>
        </w:rPr>
        <w:drawing>
          <wp:inline distT="0" distB="0" distL="0" distR="0">
            <wp:extent cx="6446520" cy="3593465"/>
            <wp:effectExtent l="0" t="0" r="0" b="0"/>
            <wp:docPr id="290" name="Image290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0" name="Image290" descr=""/>
                    <pic:cNvPicPr>
                      <a:picLocks noChangeAspect="1" noChangeArrowheads="1"/>
                    </pic:cNvPicPr>
                  </pic:nvPicPr>
                  <pic:blipFill>
                    <a:blip r:embed="rId29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46520" cy="3593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295" w:name="i-290"/>
      <w:bookmarkEnd w:id="295"/>
    </w:p>
    <w:tbl>
      <w:tblPr>
        <w:tblW w:w="493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301"/>
        <w:gridCol w:w="4636"/>
      </w:tblGrid>
      <w:tr>
        <w:trPr/>
        <w:tc>
          <w:tcPr>
            <w:tcW w:w="30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0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62</w:t>
            </w:r>
          </w:p>
        </w:tc>
        <w:tc>
          <w:tcPr>
            <w:tcW w:w="4636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sz w:val="24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TAKE-TWO INTERACTIVE SOFTWARE, INC.   |   2026</w:t>
            </w:r>
            <w:r>
              <w:rPr>
                <w:caps w:val="false"/>
                <w:smallCaps w:val="false"/>
                <w:strike w:val="false"/>
                <w:dstrike w:val="false"/>
                <w:color w:val="18333C"/>
                <w:sz w:val="24"/>
                <w:u w:val="none"/>
                <w:effect w:val="none"/>
              </w:rPr>
              <w:t xml:space="preserve"> 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Proxy Statement</w:t>
            </w:r>
          </w:p>
        </w:tc>
      </w:tr>
    </w:tbl>
    <w:p>
      <w:pPr>
        <w:pStyle w:val="TextBody"/>
        <w:bidi w:val="0"/>
        <w:spacing w:lineRule="atLeast" w:line="142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3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3"/>
          <w:u w:val="none"/>
          <w:effect w:val="none"/>
        </w:rPr>
        <w:t>EXECUTIVE COMPENSATION</w:t>
      </w:r>
    </w:p>
    <w:p>
      <w:pPr>
        <w:pStyle w:val="TextBody"/>
        <w:bidi w:val="0"/>
        <w:spacing w:lineRule="atLeast" w:line="142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2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2"/>
          <w:u w:val="none"/>
          <w:effect w:val="none"/>
        </w:rPr>
        <w:t>PAY VERSUS PERFORMANCE DISCLOSURE</w:t>
      </w:r>
    </w:p>
    <w:p>
      <w:pPr>
        <w:pStyle w:val="TextBody"/>
        <w:bidi w:val="0"/>
        <w:spacing w:lineRule="atLeast" w:line="19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64BFA6"/>
          <w:sz w:val="19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64BFA6"/>
          <w:sz w:val="19"/>
          <w:u w:val="none"/>
          <w:effect w:val="none"/>
        </w:rPr>
        <w:t>Relationship Between PEO and Non-PEO NEO Compensation Actually Paid and Net Income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The following chart sets forth the relationship between Compensation Actually Paid to our PEO, the average of Compensation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Actually Paid to our Non-PEO NEOs, and our Net Income during the five most recently completed fiscal year.</w:t>
      </w:r>
    </w:p>
    <w:p>
      <w:pPr>
        <w:pStyle w:val="TextBody"/>
        <w:bidi w:val="0"/>
        <w:spacing w:before="0" w:after="0"/>
        <w:jc w:val="both"/>
        <w:rPr>
          <w:u w:val="single"/>
        </w:rPr>
      </w:pPr>
      <w:r>
        <w:rPr>
          <w:u w:val="single"/>
        </w:rPr>
        <w:drawing>
          <wp:inline distT="0" distB="0" distL="0" distR="0">
            <wp:extent cx="6446520" cy="3534410"/>
            <wp:effectExtent l="0" t="0" r="0" b="0"/>
            <wp:docPr id="291" name="Image29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1" name="Image291" descr=""/>
                    <pic:cNvPicPr>
                      <a:picLocks noChangeAspect="1" noChangeArrowheads="1"/>
                    </pic:cNvPicPr>
                  </pic:nvPicPr>
                  <pic:blipFill>
                    <a:blip r:embed="rId29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46520" cy="35344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296" w:name="i-291"/>
      <w:bookmarkEnd w:id="296"/>
    </w:p>
    <w:tbl>
      <w:tblPr>
        <w:tblW w:w="4982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4651"/>
        <w:gridCol w:w="331"/>
      </w:tblGrid>
      <w:tr>
        <w:trPr/>
        <w:tc>
          <w:tcPr>
            <w:tcW w:w="46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651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sz w:val="24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TAKE-TWO INTERACTIVE SOFTWARE, INC.   |   2026</w:t>
            </w:r>
            <w:r>
              <w:rPr>
                <w:caps w:val="false"/>
                <w:smallCaps w:val="false"/>
                <w:strike w:val="false"/>
                <w:dstrike w:val="false"/>
                <w:color w:val="18333C"/>
                <w:sz w:val="24"/>
                <w:u w:val="none"/>
                <w:effect w:val="none"/>
              </w:rPr>
              <w:t xml:space="preserve"> 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 xml:space="preserve">Proxy Statement </w:t>
            </w:r>
          </w:p>
        </w:tc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63</w:t>
            </w:r>
          </w:p>
        </w:tc>
      </w:tr>
    </w:tbl>
    <w:p>
      <w:pPr>
        <w:pStyle w:val="TextBody"/>
        <w:bidi w:val="0"/>
        <w:spacing w:lineRule="atLeast" w:line="142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3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3"/>
          <w:u w:val="none"/>
          <w:effect w:val="none"/>
        </w:rPr>
        <w:t>EXECUTIVE COMPENSATION</w:t>
      </w:r>
    </w:p>
    <w:p>
      <w:pPr>
        <w:pStyle w:val="TextBody"/>
        <w:bidi w:val="0"/>
        <w:spacing w:lineRule="atLeast" w:line="142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2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2"/>
          <w:u w:val="none"/>
          <w:effect w:val="none"/>
        </w:rPr>
        <w:t>SUPPLEMENTAL PAY VERSUS PERFORMANCE DISCLOSURE</w:t>
      </w:r>
    </w:p>
    <w:p>
      <w:pPr>
        <w:pStyle w:val="TextBody"/>
        <w:bidi w:val="0"/>
        <w:spacing w:lineRule="atLeast" w:line="19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64BFA6"/>
          <w:sz w:val="19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64BFA6"/>
          <w:sz w:val="19"/>
          <w:u w:val="none"/>
          <w:effect w:val="none"/>
        </w:rPr>
        <w:t>Tabular List of Most Important Financial Performance Measures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The following table presents the financial performance measures that the Company considers to have been the most important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in linking Compensation Actually Paid to our NEOs for fiscal 2026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to Company performance. The measures in this table are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not ranked.</w:t>
      </w:r>
    </w:p>
    <w:tbl>
      <w:tblPr>
        <w:tblW w:w="2626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626"/>
      </w:tblGrid>
      <w:tr>
        <w:trPr/>
        <w:tc>
          <w:tcPr>
            <w:tcW w:w="26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626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bottom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z w:val="16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z w:val="16"/>
              </w:rPr>
              <w:t>Adjusted EBITDA</w:t>
            </w:r>
          </w:p>
        </w:tc>
      </w:tr>
      <w:tr>
        <w:trPr/>
        <w:tc>
          <w:tcPr>
            <w:tcW w:w="2626" w:type="dxa"/>
            <w:tcBorders>
              <w:left w:val="single" w:sz="8" w:space="0" w:color="000000"/>
              <w:right w:val="single" w:sz="8" w:space="0" w:color="000000"/>
            </w:tcBorders>
            <w:tcMar>
              <w:top w:w="0" w:type="dxa"/>
              <w:bottom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Relative TSR</w:t>
            </w:r>
          </w:p>
        </w:tc>
      </w:tr>
      <w:tr>
        <w:trPr/>
        <w:tc>
          <w:tcPr>
            <w:tcW w:w="2626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6"/>
                <w:u w:val="none"/>
                <w:effect w:val="none"/>
              </w:rPr>
              <w:t>Recurrent Consumer Spending</w:t>
            </w:r>
          </w:p>
        </w:tc>
      </w:tr>
    </w:tbl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4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24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24"/>
          <w:u w:val="none"/>
          <w:effect w:val="none"/>
        </w:rPr>
        <w:t>Supplemental Pay Versus Performance Disclosure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The following disclosure provides an alternative to the Pay Versus Performance disclosure above by incorporating the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maximum compensation opportunities allocable by ZMC to Messrs. Zelnick and Slatoff under the 2022 Management Agreement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and the 2017 Management Agreement. Refer to the Compensation Discussion &amp; Analysis for further detail on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these arrangements. This disclosure is supplementary and is not intended to satisfy the requirements of Item 402(v) of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Regulation S-K. The Compensation Committee did not consider the disclosure below in making its pay decisions for any of the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years shown.</w:t>
      </w:r>
    </w:p>
    <w:tbl>
      <w:tblPr>
        <w:tblW w:w="903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961"/>
        <w:gridCol w:w="1156"/>
        <w:gridCol w:w="1156"/>
        <w:gridCol w:w="1156"/>
        <w:gridCol w:w="1156"/>
        <w:gridCol w:w="677"/>
        <w:gridCol w:w="928"/>
        <w:gridCol w:w="901"/>
        <w:gridCol w:w="946"/>
      </w:tblGrid>
      <w:tr>
        <w:trPr/>
        <w:tc>
          <w:tcPr>
            <w:tcW w:w="9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5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5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5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5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7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56" w:type="dxa"/>
            <w:vMerge w:val="restart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5"/>
                <w:u w:val="none"/>
                <w:effect w:val="none"/>
              </w:rPr>
              <w:t>Summary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5"/>
                <w:u w:val="none"/>
                <w:effect w:val="none"/>
              </w:rPr>
              <w:t>Compensation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5"/>
                <w:u w:val="none"/>
                <w:effect w:val="none"/>
              </w:rPr>
              <w:t>Table Total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5"/>
                <w:u w:val="none"/>
                <w:effect w:val="none"/>
              </w:rPr>
              <w:t>(Adjusted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5"/>
                <w:u w:val="none"/>
                <w:effect w:val="none"/>
              </w:rPr>
              <w:t>for Maximum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5"/>
                <w:u w:val="none"/>
                <w:effect w:val="none"/>
              </w:rPr>
              <w:t>ZMC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5"/>
                <w:u w:val="none"/>
                <w:effect w:val="none"/>
              </w:rPr>
              <w:t>Opportunity)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/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5"/>
                <w:u w:val="none"/>
                <w:effect w:val="none"/>
              </w:rPr>
              <w:t>for PEO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0"/>
                <w:u w:val="none"/>
                <w:effect w:val="none"/>
              </w:rPr>
              <w:t>1,2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5"/>
                <w:u w:val="none"/>
                <w:effect w:val="none"/>
              </w:rPr>
              <w:t>($)</w:t>
            </w:r>
          </w:p>
        </w:tc>
        <w:tc>
          <w:tcPr>
            <w:tcW w:w="1156" w:type="dxa"/>
            <w:vMerge w:val="restart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5"/>
                <w:u w:val="none"/>
                <w:effect w:val="none"/>
              </w:rPr>
              <w:t>Compensation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5"/>
                <w:u w:val="none"/>
                <w:effect w:val="none"/>
              </w:rPr>
              <w:t>Actually Paid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5"/>
                <w:u w:val="none"/>
                <w:effect w:val="none"/>
              </w:rPr>
              <w:t>(Adjusted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5"/>
                <w:u w:val="none"/>
                <w:effect w:val="none"/>
              </w:rPr>
              <w:t>for Maximum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5"/>
                <w:u w:val="none"/>
                <w:effect w:val="none"/>
              </w:rPr>
              <w:t>ZMC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5"/>
                <w:u w:val="none"/>
                <w:effect w:val="none"/>
              </w:rPr>
              <w:t>Opportunity)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/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5"/>
                <w:u w:val="none"/>
                <w:effect w:val="none"/>
              </w:rPr>
              <w:t>to PEO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0"/>
                <w:u w:val="none"/>
                <w:effect w:val="none"/>
              </w:rPr>
              <w:t>1,2,3,4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5"/>
                <w:u w:val="none"/>
                <w:effect w:val="none"/>
              </w:rPr>
              <w:t>($)</w:t>
            </w:r>
          </w:p>
        </w:tc>
        <w:tc>
          <w:tcPr>
            <w:tcW w:w="1156" w:type="dxa"/>
            <w:vMerge w:val="restart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5"/>
                <w:u w:val="none"/>
                <w:effect w:val="none"/>
              </w:rPr>
              <w:t>Average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5"/>
                <w:u w:val="none"/>
                <w:effect w:val="none"/>
              </w:rPr>
              <w:t>Summary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5"/>
                <w:u w:val="none"/>
                <w:effect w:val="none"/>
              </w:rPr>
              <w:t>Compensation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5"/>
                <w:u w:val="none"/>
                <w:effect w:val="none"/>
              </w:rPr>
              <w:t>Table Total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5"/>
                <w:u w:val="none"/>
                <w:effect w:val="none"/>
              </w:rPr>
              <w:t>(Adjusted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5"/>
                <w:u w:val="none"/>
                <w:effect w:val="none"/>
              </w:rPr>
              <w:t>for Maximum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5"/>
                <w:u w:val="none"/>
                <w:effect w:val="none"/>
              </w:rPr>
              <w:t>ZMC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5"/>
                <w:u w:val="none"/>
                <w:effect w:val="none"/>
              </w:rPr>
              <w:t>Opportunity)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5"/>
                <w:u w:val="none"/>
                <w:effect w:val="none"/>
              </w:rPr>
              <w:t>for Non-PEO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/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5"/>
                <w:u w:val="none"/>
                <w:effect w:val="none"/>
              </w:rPr>
              <w:t>NEOs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0"/>
                <w:u w:val="none"/>
                <w:effect w:val="none"/>
              </w:rPr>
              <w:t>1,2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5"/>
                <w:u w:val="none"/>
                <w:effect w:val="none"/>
              </w:rPr>
              <w:t>($)</w:t>
            </w:r>
          </w:p>
        </w:tc>
        <w:tc>
          <w:tcPr>
            <w:tcW w:w="1156" w:type="dxa"/>
            <w:vMerge w:val="restart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5"/>
                <w:u w:val="none"/>
                <w:effect w:val="none"/>
              </w:rPr>
              <w:t>Average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5"/>
                <w:u w:val="none"/>
                <w:effect w:val="none"/>
              </w:rPr>
              <w:t>Compensation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5"/>
                <w:u w:val="none"/>
                <w:effect w:val="none"/>
              </w:rPr>
              <w:t>Actually Paid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5"/>
                <w:u w:val="none"/>
                <w:effect w:val="none"/>
              </w:rPr>
              <w:t>(Adjusted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5"/>
                <w:u w:val="none"/>
                <w:effect w:val="none"/>
              </w:rPr>
              <w:t>for Maximum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5"/>
                <w:u w:val="none"/>
                <w:effect w:val="none"/>
              </w:rPr>
              <w:t>ZMC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5"/>
                <w:u w:val="none"/>
                <w:effect w:val="none"/>
              </w:rPr>
              <w:t>Opportunity)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5"/>
                <w:u w:val="none"/>
                <w:effect w:val="none"/>
              </w:rPr>
              <w:t>to Non-PEO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/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5"/>
                <w:u w:val="none"/>
                <w:effect w:val="none"/>
              </w:rPr>
              <w:t>NEOs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0"/>
                <w:u w:val="none"/>
                <w:effect w:val="none"/>
              </w:rPr>
              <w:t>1,2,3,4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5"/>
                <w:u w:val="none"/>
                <w:effect w:val="none"/>
              </w:rPr>
              <w:t>($)</w:t>
            </w:r>
          </w:p>
        </w:tc>
        <w:tc>
          <w:tcPr>
            <w:tcW w:w="1605" w:type="dxa"/>
            <w:gridSpan w:val="2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5"/>
                <w:u w:val="none"/>
                <w:effect w:val="none"/>
              </w:rPr>
              <w:t>Value of Initial Fixed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5"/>
                <w:u w:val="none"/>
                <w:effect w:val="none"/>
              </w:rPr>
              <w:t>$100 Investment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/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5"/>
                <w:u w:val="none"/>
                <w:effect w:val="none"/>
              </w:rPr>
              <w:t>based on: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0"/>
                <w:u w:val="none"/>
                <w:effect w:val="none"/>
              </w:rPr>
              <w:t>5</w:t>
            </w:r>
          </w:p>
        </w:tc>
        <w:tc>
          <w:tcPr>
            <w:tcW w:w="90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61" w:type="dxa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5"/>
                <w:u w:val="none"/>
                <w:effect w:val="none"/>
              </w:rPr>
              <w:t>Fiscal Year</w:t>
            </w:r>
          </w:p>
        </w:tc>
        <w:tc>
          <w:tcPr>
            <w:tcW w:w="1156" w:type="dxa"/>
            <w:vMerge w:val="continue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156" w:type="dxa"/>
            <w:vMerge w:val="continue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156" w:type="dxa"/>
            <w:vMerge w:val="continue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156" w:type="dxa"/>
            <w:vMerge w:val="continue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77" w:type="dxa"/>
            <w:tcBorders>
              <w:top w:val="single" w:sz="4" w:space="0" w:color="18333C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5"/>
                <w:u w:val="none"/>
                <w:effect w:val="none"/>
              </w:rPr>
              <w:t>TSR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5"/>
                <w:u w:val="none"/>
                <w:effect w:val="none"/>
              </w:rPr>
              <w:t>($)</w:t>
            </w:r>
          </w:p>
        </w:tc>
        <w:tc>
          <w:tcPr>
            <w:tcW w:w="928" w:type="dxa"/>
            <w:tcBorders>
              <w:top w:val="single" w:sz="4" w:space="0" w:color="18333C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5"/>
                <w:u w:val="none"/>
                <w:effect w:val="none"/>
              </w:rPr>
              <w:t>Peer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5"/>
                <w:u w:val="none"/>
                <w:effect w:val="none"/>
              </w:rPr>
              <w:t>Group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5"/>
                <w:u w:val="none"/>
                <w:effect w:val="none"/>
              </w:rPr>
              <w:t>TSR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5"/>
                <w:u w:val="none"/>
                <w:effect w:val="none"/>
              </w:rPr>
              <w:t>($)</w:t>
            </w:r>
          </w:p>
        </w:tc>
        <w:tc>
          <w:tcPr>
            <w:tcW w:w="901" w:type="dxa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5"/>
                <w:u w:val="none"/>
                <w:effect w:val="none"/>
              </w:rPr>
              <w:t>Net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5"/>
                <w:u w:val="none"/>
                <w:effect w:val="none"/>
              </w:rPr>
              <w:t>Income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5"/>
                <w:u w:val="none"/>
                <w:effect w:val="none"/>
              </w:rPr>
              <w:t>($ Millions)</w:t>
            </w:r>
          </w:p>
        </w:tc>
        <w:tc>
          <w:tcPr>
            <w:tcW w:w="946" w:type="dxa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5"/>
                <w:u w:val="none"/>
                <w:effect w:val="none"/>
              </w:rPr>
              <w:t>Adjusted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/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5"/>
                <w:u w:val="none"/>
                <w:effect w:val="none"/>
              </w:rPr>
              <w:t>EBITDA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0"/>
                <w:u w:val="none"/>
                <w:effect w:val="none"/>
              </w:rPr>
              <w:t>6</w:t>
            </w:r>
          </w:p>
          <w:p>
            <w:pPr>
              <w:pStyle w:val="TableContents"/>
              <w:bidi w:val="0"/>
              <w:spacing w:lineRule="atLeast" w:line="15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5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5"/>
                <w:u w:val="none"/>
                <w:effect w:val="none"/>
              </w:rPr>
              <w:t>($ Millions)</w:t>
            </w:r>
          </w:p>
        </w:tc>
      </w:tr>
      <w:tr>
        <w:trPr/>
        <w:tc>
          <w:tcPr>
            <w:tcW w:w="961" w:type="dxa"/>
            <w:tcBorders>
              <w:top w:val="single" w:sz="4" w:space="0" w:color="18333C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2026</w:t>
            </w:r>
          </w:p>
        </w:tc>
        <w:tc>
          <w:tcPr>
            <w:tcW w:w="1156" w:type="dxa"/>
            <w:tcBorders>
              <w:top w:val="single" w:sz="4" w:space="0" w:color="18333C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45,043,098</w:t>
            </w:r>
          </w:p>
        </w:tc>
        <w:tc>
          <w:tcPr>
            <w:tcW w:w="1156" w:type="dxa"/>
            <w:tcBorders>
              <w:top w:val="single" w:sz="4" w:space="0" w:color="18333C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35,059,708</w:t>
            </w:r>
          </w:p>
        </w:tc>
        <w:tc>
          <w:tcPr>
            <w:tcW w:w="1156" w:type="dxa"/>
            <w:tcBorders>
              <w:top w:val="single" w:sz="4" w:space="0" w:color="18333C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16,349,486</w:t>
            </w:r>
          </w:p>
        </w:tc>
        <w:tc>
          <w:tcPr>
            <w:tcW w:w="1156" w:type="dxa"/>
            <w:tcBorders>
              <w:top w:val="single" w:sz="4" w:space="0" w:color="18333C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12,824,533</w:t>
            </w:r>
          </w:p>
        </w:tc>
        <w:tc>
          <w:tcPr>
            <w:tcW w:w="677" w:type="dxa"/>
            <w:tcBorders>
              <w:top w:val="single" w:sz="4" w:space="0" w:color="18333C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112</w:t>
            </w:r>
          </w:p>
        </w:tc>
        <w:tc>
          <w:tcPr>
            <w:tcW w:w="928" w:type="dxa"/>
            <w:tcBorders>
              <w:top w:val="single" w:sz="4" w:space="0" w:color="18333C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137</w:t>
            </w:r>
          </w:p>
        </w:tc>
        <w:tc>
          <w:tcPr>
            <w:tcW w:w="901" w:type="dxa"/>
            <w:tcBorders>
              <w:top w:val="single" w:sz="4" w:space="0" w:color="18333C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(298)</w:t>
            </w:r>
          </w:p>
        </w:tc>
        <w:tc>
          <w:tcPr>
            <w:tcW w:w="946" w:type="dxa"/>
            <w:tcBorders>
              <w:top w:val="single" w:sz="4" w:space="0" w:color="18333C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1,401.6</w:t>
            </w:r>
          </w:p>
        </w:tc>
      </w:tr>
      <w:tr>
        <w:trPr/>
        <w:tc>
          <w:tcPr>
            <w:tcW w:w="961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2025</w:t>
            </w:r>
          </w:p>
        </w:tc>
        <w:tc>
          <w:tcPr>
            <w:tcW w:w="115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43,302,010</w:t>
            </w:r>
          </w:p>
        </w:tc>
        <w:tc>
          <w:tcPr>
            <w:tcW w:w="115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118,690,718</w:t>
            </w:r>
          </w:p>
        </w:tc>
        <w:tc>
          <w:tcPr>
            <w:tcW w:w="115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16,044,732</w:t>
            </w:r>
          </w:p>
        </w:tc>
        <w:tc>
          <w:tcPr>
            <w:tcW w:w="115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44,748,653</w:t>
            </w:r>
          </w:p>
        </w:tc>
        <w:tc>
          <w:tcPr>
            <w:tcW w:w="677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117</w:t>
            </w:r>
          </w:p>
        </w:tc>
        <w:tc>
          <w:tcPr>
            <w:tcW w:w="928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129</w:t>
            </w:r>
          </w:p>
        </w:tc>
        <w:tc>
          <w:tcPr>
            <w:tcW w:w="901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(4,479)</w:t>
            </w:r>
          </w:p>
        </w:tc>
        <w:tc>
          <w:tcPr>
            <w:tcW w:w="94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901.0</w:t>
            </w:r>
          </w:p>
        </w:tc>
      </w:tr>
      <w:tr>
        <w:trPr/>
        <w:tc>
          <w:tcPr>
            <w:tcW w:w="961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2024</w:t>
            </w:r>
          </w:p>
        </w:tc>
        <w:tc>
          <w:tcPr>
            <w:tcW w:w="115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32,754,669</w:t>
            </w:r>
          </w:p>
        </w:tc>
        <w:tc>
          <w:tcPr>
            <w:tcW w:w="115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46,964,443</w:t>
            </w:r>
          </w:p>
        </w:tc>
        <w:tc>
          <w:tcPr>
            <w:tcW w:w="115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13,006,396</w:t>
            </w:r>
          </w:p>
        </w:tc>
        <w:tc>
          <w:tcPr>
            <w:tcW w:w="115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16,636,856</w:t>
            </w:r>
          </w:p>
        </w:tc>
        <w:tc>
          <w:tcPr>
            <w:tcW w:w="677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84</w:t>
            </w:r>
          </w:p>
        </w:tc>
        <w:tc>
          <w:tcPr>
            <w:tcW w:w="928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121</w:t>
            </w:r>
          </w:p>
        </w:tc>
        <w:tc>
          <w:tcPr>
            <w:tcW w:w="901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(3,744)</w:t>
            </w:r>
          </w:p>
        </w:tc>
        <w:tc>
          <w:tcPr>
            <w:tcW w:w="94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845.2</w:t>
            </w:r>
          </w:p>
        </w:tc>
      </w:tr>
      <w:tr>
        <w:trPr/>
        <w:tc>
          <w:tcPr>
            <w:tcW w:w="961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2023</w:t>
            </w:r>
          </w:p>
        </w:tc>
        <w:tc>
          <w:tcPr>
            <w:tcW w:w="115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50,006,805</w:t>
            </w:r>
          </w:p>
        </w:tc>
        <w:tc>
          <w:tcPr>
            <w:tcW w:w="115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42,108,832</w:t>
            </w:r>
          </w:p>
        </w:tc>
        <w:tc>
          <w:tcPr>
            <w:tcW w:w="115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17,582,716</w:t>
            </w:r>
          </w:p>
        </w:tc>
        <w:tc>
          <w:tcPr>
            <w:tcW w:w="115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13,563,715</w:t>
            </w:r>
          </w:p>
        </w:tc>
        <w:tc>
          <w:tcPr>
            <w:tcW w:w="677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68</w:t>
            </w:r>
          </w:p>
        </w:tc>
        <w:tc>
          <w:tcPr>
            <w:tcW w:w="928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97</w:t>
            </w:r>
          </w:p>
        </w:tc>
        <w:tc>
          <w:tcPr>
            <w:tcW w:w="901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(1,125)</w:t>
            </w:r>
          </w:p>
        </w:tc>
        <w:tc>
          <w:tcPr>
            <w:tcW w:w="94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940.6</w:t>
            </w:r>
          </w:p>
        </w:tc>
      </w:tr>
      <w:tr>
        <w:trPr/>
        <w:tc>
          <w:tcPr>
            <w:tcW w:w="961" w:type="dxa"/>
            <w:tcBorders>
              <w:top w:val="single" w:sz="2" w:space="0" w:color="8C8D8F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2022</w:t>
            </w:r>
          </w:p>
        </w:tc>
        <w:tc>
          <w:tcPr>
            <w:tcW w:w="1156" w:type="dxa"/>
            <w:tcBorders>
              <w:top w:val="single" w:sz="2" w:space="0" w:color="8C8D8F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21,499,437</w:t>
            </w:r>
          </w:p>
        </w:tc>
        <w:tc>
          <w:tcPr>
            <w:tcW w:w="1156" w:type="dxa"/>
            <w:tcBorders>
              <w:top w:val="single" w:sz="2" w:space="0" w:color="8C8D8F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16,151,492</w:t>
            </w:r>
          </w:p>
        </w:tc>
        <w:tc>
          <w:tcPr>
            <w:tcW w:w="1156" w:type="dxa"/>
            <w:tcBorders>
              <w:top w:val="single" w:sz="2" w:space="0" w:color="8C8D8F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8,062,073</w:t>
            </w:r>
          </w:p>
        </w:tc>
        <w:tc>
          <w:tcPr>
            <w:tcW w:w="1156" w:type="dxa"/>
            <w:tcBorders>
              <w:top w:val="single" w:sz="2" w:space="0" w:color="8C8D8F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5,691,540</w:t>
            </w:r>
          </w:p>
        </w:tc>
        <w:tc>
          <w:tcPr>
            <w:tcW w:w="677" w:type="dxa"/>
            <w:tcBorders>
              <w:top w:val="single" w:sz="2" w:space="0" w:color="8C8D8F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87</w:t>
            </w:r>
          </w:p>
        </w:tc>
        <w:tc>
          <w:tcPr>
            <w:tcW w:w="928" w:type="dxa"/>
            <w:tcBorders>
              <w:top w:val="single" w:sz="2" w:space="0" w:color="8C8D8F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107</w:t>
            </w:r>
          </w:p>
        </w:tc>
        <w:tc>
          <w:tcPr>
            <w:tcW w:w="901" w:type="dxa"/>
            <w:tcBorders>
              <w:top w:val="single" w:sz="2" w:space="0" w:color="8C8D8F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418</w:t>
            </w:r>
          </w:p>
        </w:tc>
        <w:tc>
          <w:tcPr>
            <w:tcW w:w="946" w:type="dxa"/>
            <w:tcBorders>
              <w:top w:val="single" w:sz="2" w:space="0" w:color="8C8D8F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827.2</w:t>
            </w:r>
          </w:p>
        </w:tc>
      </w:tr>
    </w:tbl>
    <w:p>
      <w:pPr>
        <w:pStyle w:val="TextBody"/>
        <w:bidi w:val="0"/>
        <w:spacing w:lineRule="atLeast" w:line="142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(1)Strauss Zelnick was our PEO for each year presented. The individuals comprising the Non-PEO NEOs for each year presented were Lainie Goldstein,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42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Karl Slatoff, and Daniel Emerson.</w:t>
      </w:r>
    </w:p>
    <w:p>
      <w:pPr>
        <w:pStyle w:val="TextBody"/>
        <w:bidi w:val="0"/>
        <w:spacing w:lineRule="atLeast" w:line="142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(2)Messrs. Zelnick and Slatoff were compensated for their respective services to the Company under the 2022 Management Agreement and, prior to May 23,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42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2022, the 2017 Management Agreement. The provisions of the 2022 Management Agreement and the 2017 Management Agreement establish the payments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42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and benefits to which ZMC is entitled as consideration for providing the services set forth therein. In general, in connection with their provision of services to the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42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Company, the actual amount of compensation received by Messrs. Zelnick and Slatoff is determined in the sole discretion of ZMC and without the Company’s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42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knowledge, except that, under the terms of both Management Agreements, Mr. Zelnick may not receive more than 60% of the payments and benefits made to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42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ZMC and Mr. Slatoff may not receive more than 40% of the payments and benefits made to ZMC. The data in this supplementary table reflect the maximum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42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compensation opportunities of Messrs. Zelnick and Slatoff under these agreements.</w:t>
      </w:r>
    </w:p>
    <w:p>
      <w:pPr>
        <w:pStyle w:val="TextBody"/>
        <w:bidi w:val="0"/>
        <w:spacing w:lineRule="atLeast" w:line="142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(3)The amounts shown for Compensation Actually Paid (Adjusted for Maximum ZMC Opportunity) do not reflect compensation actually earned, realized, or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42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received by the Company’s NEOs.</w:t>
      </w:r>
    </w:p>
    <w:p>
      <w:pPr>
        <w:pStyle w:val="TextBody"/>
        <w:bidi w:val="0"/>
        <w:spacing w:lineRule="atLeast" w:line="142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(4)Compensation Actually Paid (Adjusted for Maximum ZMC Opportunity) reflects: (1) the exclusion of Stock Awards from the Summary Compensation Table for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42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all the NEOs and, for Messrs. Zelnick and Slatoff, the exclusion of the accounting value of stock awards that could be granted to each by ZMC under the 2022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42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Management Agreement and 2017 Management Agreement, assuming their maximum ZMC compensation opportunities; and (2) the inclusion of the value of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42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equity awards granted by the Company to non-ZMC NEOs and, for, Messrs. Zelnick and Slatoff, to ZMC, assuming their maximum ZMC compensation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42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opportunities. The equity award adjustments for each applicable year in this supplementary disclosure include the addition or subtraction of amounts as would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42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be required under Regulation S-K, Item 402(v)(2)(iii).</w:t>
      </w:r>
    </w:p>
    <w:p>
      <w:pPr>
        <w:pStyle w:val="TextBody"/>
        <w:bidi w:val="0"/>
        <w:spacing w:lineRule="atLeast" w:line="142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(5)See the section of this Proxy Statement captioned Pay Versus Performance Disclosure for the methodology used in calculating TSR and Peer Group TSR.</w:t>
      </w:r>
    </w:p>
    <w:p>
      <w:pPr>
        <w:pStyle w:val="TextBody"/>
        <w:bidi w:val="0"/>
        <w:spacing w:lineRule="atLeast" w:line="142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(6)See the section of this Proxy Statement captioned Pay Versus Performance Disclosure for a description of this performance measure.</w:t>
      </w:r>
    </w:p>
    <w:tbl>
      <w:tblPr>
        <w:tblW w:w="493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301"/>
        <w:gridCol w:w="4636"/>
      </w:tblGrid>
      <w:tr>
        <w:trPr/>
        <w:tc>
          <w:tcPr>
            <w:tcW w:w="30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0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64</w:t>
            </w:r>
          </w:p>
        </w:tc>
        <w:tc>
          <w:tcPr>
            <w:tcW w:w="4636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sz w:val="24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TAKE-TWO INTERACTIVE SOFTWARE, INC.   |   2026</w:t>
            </w:r>
            <w:r>
              <w:rPr>
                <w:caps w:val="false"/>
                <w:smallCaps w:val="false"/>
                <w:strike w:val="false"/>
                <w:dstrike w:val="false"/>
                <w:color w:val="18333C"/>
                <w:sz w:val="24"/>
                <w:u w:val="none"/>
                <w:effect w:val="none"/>
              </w:rPr>
              <w:t xml:space="preserve"> 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Proxy Statement</w:t>
            </w:r>
          </w:p>
        </w:tc>
      </w:tr>
    </w:tbl>
    <w:p>
      <w:pPr>
        <w:pStyle w:val="TextBody"/>
        <w:bidi w:val="0"/>
        <w:spacing w:lineRule="atLeast" w:line="142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3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3"/>
          <w:u w:val="none"/>
          <w:effect w:val="none"/>
        </w:rPr>
        <w:t>EXECUTIVE COMPENSATION</w:t>
      </w:r>
    </w:p>
    <w:p>
      <w:pPr>
        <w:pStyle w:val="TextBody"/>
        <w:bidi w:val="0"/>
        <w:spacing w:lineRule="atLeast" w:line="142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2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2"/>
          <w:u w:val="none"/>
          <w:effect w:val="none"/>
        </w:rPr>
        <w:t>POLICIES RELATED TO THE GRANT OF CERTAIN EQUITY AWARDS</w:t>
      </w:r>
    </w:p>
    <w:p>
      <w:pPr>
        <w:pStyle w:val="TextBody"/>
        <w:bidi w:val="0"/>
        <w:spacing w:lineRule="atLeast" w:line="19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64BFA6"/>
          <w:sz w:val="19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64BFA6"/>
          <w:sz w:val="19"/>
          <w:u w:val="none"/>
          <w:effect w:val="none"/>
        </w:rPr>
        <w:t>Supplemental Tabular List of Most Important Financial Performance Measures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The following supplemental table presents the financial performance measures that the Company considers to have been the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most important in linking Compensation Actually Paid (Adjusted for Maximum ZMC Opportunity) to our PEO and other NEOs for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fiscal 2026 to Company performance. The measures in this table are not ranked.</w:t>
      </w:r>
    </w:p>
    <w:tbl>
      <w:tblPr>
        <w:tblW w:w="2626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626"/>
      </w:tblGrid>
      <w:tr>
        <w:trPr/>
        <w:tc>
          <w:tcPr>
            <w:tcW w:w="26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626" w:type="dxa"/>
            <w:tcBorders>
              <w:top w:val="single" w:sz="4" w:space="0" w:color="18333C"/>
              <w:left w:val="single" w:sz="4" w:space="0" w:color="18333C"/>
              <w:bottom w:val="single" w:sz="4" w:space="0" w:color="18333C"/>
              <w:right w:val="single" w:sz="4" w:space="0" w:color="18333C"/>
            </w:tcBorders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z w:val="16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z w:val="16"/>
              </w:rPr>
              <w:t>Adjusted EBITDA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z w:val="16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z w:val="16"/>
              </w:rPr>
              <w:t>Relative TSR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z w:val="16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z w:val="16"/>
              </w:rPr>
              <w:t>Recurrent Consumer Spending</w:t>
            </w:r>
          </w:p>
        </w:tc>
      </w:tr>
    </w:tbl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4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24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24"/>
          <w:u w:val="none"/>
          <w:effect w:val="none"/>
        </w:rPr>
        <w:t>Policies Related to the Grant of Certain Equity Awards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We do not currently grant new awards of stock options, stock appreciation rights, or similar option-like equity awards.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Accordingly, we have no specific policy or practice on the timing of grants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of such awards in relation to the disclosure of material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non-public information by us, which would require disclosure under Item 402(x) of Regulation S-K.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In the event we determine to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grant new awards of stock options or similar equity awards in the future, the Compensation Committee will evaluate the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appropriate steps to take in relation to the foregoing. We have not timed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the release of material non-public information for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purposes of affecting the value of executive compensation.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40" w:before="0" w:after="0"/>
        <w:jc w:val="left"/>
        <w:rPr>
          <w:sz w:val="24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24"/>
          <w:u w:val="none"/>
          <w:effect w:val="none"/>
        </w:rPr>
        <w:t>Compensation of Directors During 2026</w:t>
      </w:r>
      <w:r>
        <w:rPr>
          <w:caps w:val="false"/>
          <w:smallCaps w:val="false"/>
          <w:strike w:val="false"/>
          <w:dstrike w:val="false"/>
          <w:color w:val="18333C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24"/>
          <w:u w:val="none"/>
          <w:effect w:val="none"/>
        </w:rPr>
        <w:t>Fiscal Year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The Compensation Committee reviews and makes recommendations to the Board regarding the form and amount of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compensation for non-employee directors. Typically, on an annual basis, the Committee considers a board compensation study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by its independent compensation consultant to support the Committee in its deliberations.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Such compensation may include, but is not limited to, the following elements: board or committee retainer, board or committee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meeting fees, committee chair retainer or fees, equity compensation, benefits and perquisites. All directors who served during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 xml:space="preserve">fiscal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2026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, other than Mr. Zelnick, are regarded as non-employee directors.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The key elements of the compensation payable to our non-employee directors are as follows:</w:t>
      </w:r>
    </w:p>
    <w:tbl>
      <w:tblPr>
        <w:tblW w:w="9500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041"/>
        <w:gridCol w:w="2161"/>
        <w:gridCol w:w="1516"/>
        <w:gridCol w:w="1306"/>
        <w:gridCol w:w="2476"/>
      </w:tblGrid>
      <w:tr>
        <w:trPr/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1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1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4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41" w:type="dxa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Component</w:t>
            </w:r>
          </w:p>
        </w:tc>
        <w:tc>
          <w:tcPr>
            <w:tcW w:w="2161" w:type="dxa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16" w:type="dxa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06" w:type="dxa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Value of Award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Under Current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Policy</w:t>
            </w:r>
          </w:p>
        </w:tc>
        <w:tc>
          <w:tcPr>
            <w:tcW w:w="2476" w:type="dxa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Notes</w:t>
            </w:r>
          </w:p>
        </w:tc>
      </w:tr>
      <w:tr>
        <w:trPr/>
        <w:tc>
          <w:tcPr>
            <w:tcW w:w="2041" w:type="dxa"/>
            <w:tcBorders>
              <w:top w:val="single" w:sz="4" w:space="0" w:color="18333C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Annual Retainer</w:t>
            </w:r>
          </w:p>
        </w:tc>
        <w:tc>
          <w:tcPr>
            <w:tcW w:w="3677" w:type="dxa"/>
            <w:gridSpan w:val="2"/>
            <w:tcBorders>
              <w:top w:val="single" w:sz="4" w:space="0" w:color="18333C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For Each Non-Employee Director</w:t>
            </w:r>
          </w:p>
        </w:tc>
        <w:tc>
          <w:tcPr>
            <w:tcW w:w="1306" w:type="dxa"/>
            <w:tcBorders>
              <w:top w:val="single" w:sz="4" w:space="0" w:color="18333C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$300,000</w:t>
            </w:r>
          </w:p>
        </w:tc>
        <w:tc>
          <w:tcPr>
            <w:tcW w:w="2476" w:type="dxa"/>
            <w:tcBorders>
              <w:top w:val="single" w:sz="4" w:space="0" w:color="18333C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7"/>
                <w:u w:val="none"/>
                <w:effect w:val="none"/>
              </w:rPr>
              <w:t>$235,000 restricted stock/</w:t>
            </w:r>
          </w:p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7"/>
                <w:u w:val="none"/>
                <w:effect w:val="none"/>
              </w:rPr>
              <w:t>$65,000 cash</w:t>
            </w:r>
          </w:p>
        </w:tc>
      </w:tr>
      <w:tr>
        <w:trPr/>
        <w:tc>
          <w:tcPr>
            <w:tcW w:w="2041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Lead Independent</w:t>
            </w:r>
          </w:p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Director Additional Fees</w:t>
            </w:r>
          </w:p>
        </w:tc>
        <w:tc>
          <w:tcPr>
            <w:tcW w:w="3677" w:type="dxa"/>
            <w:gridSpan w:val="2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For Lead Independent Director</w:t>
            </w:r>
          </w:p>
        </w:tc>
        <w:tc>
          <w:tcPr>
            <w:tcW w:w="130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$200,000</w:t>
            </w:r>
          </w:p>
        </w:tc>
        <w:tc>
          <w:tcPr>
            <w:tcW w:w="247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7"/>
                <w:u w:val="none"/>
                <w:effect w:val="none"/>
              </w:rPr>
              <w:t>$100,000 restricted stock/</w:t>
            </w:r>
          </w:p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7"/>
                <w:u w:val="none"/>
                <w:effect w:val="none"/>
              </w:rPr>
              <w:t>$100,000 cash</w:t>
            </w:r>
          </w:p>
        </w:tc>
      </w:tr>
      <w:tr>
        <w:trPr/>
        <w:tc>
          <w:tcPr>
            <w:tcW w:w="2041" w:type="dxa"/>
            <w:vMerge w:val="restart"/>
            <w:tcBorders>
              <w:top w:val="single" w:sz="2" w:space="0" w:color="8C8D8F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Committee Fees</w:t>
            </w:r>
          </w:p>
        </w:tc>
        <w:tc>
          <w:tcPr>
            <w:tcW w:w="2161" w:type="dxa"/>
            <w:vMerge w:val="restart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Audit Committee</w:t>
            </w:r>
          </w:p>
        </w:tc>
        <w:tc>
          <w:tcPr>
            <w:tcW w:w="151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Chair</w:t>
            </w:r>
          </w:p>
        </w:tc>
        <w:tc>
          <w:tcPr>
            <w:tcW w:w="130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$40,000</w:t>
            </w:r>
          </w:p>
        </w:tc>
        <w:tc>
          <w:tcPr>
            <w:tcW w:w="247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</w:tr>
      <w:tr>
        <w:trPr/>
        <w:tc>
          <w:tcPr>
            <w:tcW w:w="2041" w:type="dxa"/>
            <w:vMerge w:val="continue"/>
            <w:tcBorders>
              <w:top w:val="single" w:sz="2" w:space="0" w:color="8C8D8F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161" w:type="dxa"/>
            <w:vMerge w:val="continue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1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Other Members</w:t>
            </w:r>
          </w:p>
        </w:tc>
        <w:tc>
          <w:tcPr>
            <w:tcW w:w="130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$20,000</w:t>
            </w:r>
          </w:p>
        </w:tc>
        <w:tc>
          <w:tcPr>
            <w:tcW w:w="247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</w:tr>
      <w:tr>
        <w:trPr/>
        <w:tc>
          <w:tcPr>
            <w:tcW w:w="2041" w:type="dxa"/>
            <w:vMerge w:val="continue"/>
            <w:tcBorders>
              <w:top w:val="single" w:sz="2" w:space="0" w:color="8C8D8F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161" w:type="dxa"/>
            <w:vMerge w:val="restart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Compensation</w:t>
            </w:r>
          </w:p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Committee</w:t>
            </w:r>
          </w:p>
        </w:tc>
        <w:tc>
          <w:tcPr>
            <w:tcW w:w="151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Chair</w:t>
            </w:r>
          </w:p>
        </w:tc>
        <w:tc>
          <w:tcPr>
            <w:tcW w:w="130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$30,000</w:t>
            </w:r>
          </w:p>
        </w:tc>
        <w:tc>
          <w:tcPr>
            <w:tcW w:w="247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</w:tr>
      <w:tr>
        <w:trPr/>
        <w:tc>
          <w:tcPr>
            <w:tcW w:w="2041" w:type="dxa"/>
            <w:vMerge w:val="continue"/>
            <w:tcBorders>
              <w:top w:val="single" w:sz="2" w:space="0" w:color="8C8D8F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161" w:type="dxa"/>
            <w:vMerge w:val="continue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1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Other Members</w:t>
            </w:r>
          </w:p>
        </w:tc>
        <w:tc>
          <w:tcPr>
            <w:tcW w:w="130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$15,000</w:t>
            </w:r>
          </w:p>
        </w:tc>
        <w:tc>
          <w:tcPr>
            <w:tcW w:w="247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</w:tr>
      <w:tr>
        <w:trPr/>
        <w:tc>
          <w:tcPr>
            <w:tcW w:w="2041" w:type="dxa"/>
            <w:vMerge w:val="continue"/>
            <w:tcBorders>
              <w:top w:val="single" w:sz="2" w:space="0" w:color="8C8D8F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161" w:type="dxa"/>
            <w:vMerge w:val="restart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Corporate Governance</w:t>
            </w:r>
          </w:p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Committee</w:t>
            </w:r>
          </w:p>
        </w:tc>
        <w:tc>
          <w:tcPr>
            <w:tcW w:w="151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Chair</w:t>
            </w:r>
          </w:p>
        </w:tc>
        <w:tc>
          <w:tcPr>
            <w:tcW w:w="130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$30,000</w:t>
            </w:r>
          </w:p>
        </w:tc>
        <w:tc>
          <w:tcPr>
            <w:tcW w:w="247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</w:tr>
      <w:tr>
        <w:trPr/>
        <w:tc>
          <w:tcPr>
            <w:tcW w:w="2041" w:type="dxa"/>
            <w:vMerge w:val="continue"/>
            <w:tcBorders>
              <w:top w:val="single" w:sz="2" w:space="0" w:color="8C8D8F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161" w:type="dxa"/>
            <w:vMerge w:val="continue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1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Other Members</w:t>
            </w:r>
          </w:p>
        </w:tc>
        <w:tc>
          <w:tcPr>
            <w:tcW w:w="130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$10,000</w:t>
            </w:r>
          </w:p>
        </w:tc>
        <w:tc>
          <w:tcPr>
            <w:tcW w:w="247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</w:tr>
      <w:tr>
        <w:trPr/>
        <w:tc>
          <w:tcPr>
            <w:tcW w:w="2041" w:type="dxa"/>
            <w:vMerge w:val="continue"/>
            <w:tcBorders>
              <w:top w:val="single" w:sz="2" w:space="0" w:color="8C8D8F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161" w:type="dxa"/>
            <w:vMerge w:val="restart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Technology Risk Committee</w:t>
            </w:r>
          </w:p>
        </w:tc>
        <w:tc>
          <w:tcPr>
            <w:tcW w:w="151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Chair</w:t>
            </w:r>
          </w:p>
        </w:tc>
        <w:tc>
          <w:tcPr>
            <w:tcW w:w="130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$30,000</w:t>
            </w:r>
          </w:p>
        </w:tc>
        <w:tc>
          <w:tcPr>
            <w:tcW w:w="247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</w:tr>
      <w:tr>
        <w:trPr/>
        <w:tc>
          <w:tcPr>
            <w:tcW w:w="2041" w:type="dxa"/>
            <w:vMerge w:val="continue"/>
            <w:tcBorders>
              <w:top w:val="single" w:sz="2" w:space="0" w:color="8C8D8F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161" w:type="dxa"/>
            <w:vMerge w:val="continue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1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Other Members</w:t>
            </w:r>
          </w:p>
        </w:tc>
        <w:tc>
          <w:tcPr>
            <w:tcW w:w="130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$10,000</w:t>
            </w:r>
          </w:p>
        </w:tc>
        <w:tc>
          <w:tcPr>
            <w:tcW w:w="247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</w:tr>
      <w:tr>
        <w:trPr/>
        <w:tc>
          <w:tcPr>
            <w:tcW w:w="2041" w:type="dxa"/>
            <w:vMerge w:val="continue"/>
            <w:tcBorders>
              <w:top w:val="single" w:sz="2" w:space="0" w:color="8C8D8F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161" w:type="dxa"/>
            <w:vMerge w:val="restart"/>
            <w:tcBorders>
              <w:top w:val="single" w:sz="2" w:space="0" w:color="8C8D8F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Executive Committee</w:t>
            </w:r>
          </w:p>
        </w:tc>
        <w:tc>
          <w:tcPr>
            <w:tcW w:w="151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Chair</w:t>
            </w:r>
          </w:p>
        </w:tc>
        <w:tc>
          <w:tcPr>
            <w:tcW w:w="130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N/A</w:t>
            </w:r>
          </w:p>
        </w:tc>
        <w:tc>
          <w:tcPr>
            <w:tcW w:w="247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7"/>
                <w:u w:val="none"/>
                <w:effect w:val="none"/>
              </w:rPr>
              <w:t xml:space="preserve">Lead Independent Director </w:t>
            </w:r>
          </w:p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7"/>
                <w:u w:val="none"/>
                <w:effect w:val="none"/>
              </w:rPr>
              <w:t>serves as Executive Committee</w:t>
            </w:r>
          </w:p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7"/>
                <w:u w:val="none"/>
                <w:effect w:val="none"/>
              </w:rPr>
              <w:t>Chair for no additional fee</w:t>
            </w:r>
          </w:p>
        </w:tc>
      </w:tr>
      <w:tr>
        <w:trPr/>
        <w:tc>
          <w:tcPr>
            <w:tcW w:w="2041" w:type="dxa"/>
            <w:vMerge w:val="continue"/>
            <w:tcBorders>
              <w:top w:val="single" w:sz="2" w:space="0" w:color="8C8D8F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161" w:type="dxa"/>
            <w:vMerge w:val="continue"/>
            <w:tcBorders>
              <w:top w:val="single" w:sz="2" w:space="0" w:color="8C8D8F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16" w:type="dxa"/>
            <w:tcBorders>
              <w:top w:val="single" w:sz="2" w:space="0" w:color="8C8D8F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 xml:space="preserve">Other Independent </w:t>
            </w:r>
          </w:p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Members</w:t>
            </w:r>
          </w:p>
        </w:tc>
        <w:tc>
          <w:tcPr>
            <w:tcW w:w="1306" w:type="dxa"/>
            <w:tcBorders>
              <w:top w:val="single" w:sz="2" w:space="0" w:color="8C8D8F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$25,000</w:t>
            </w:r>
          </w:p>
        </w:tc>
        <w:tc>
          <w:tcPr>
            <w:tcW w:w="2476" w:type="dxa"/>
            <w:tcBorders>
              <w:top w:val="single" w:sz="2" w:space="0" w:color="8C8D8F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</w:tr>
    </w:tbl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Each non-employee director may make an election to receive up to 100% of their annual retainer and committee fees in shares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 xml:space="preserve">of restricted stock. For fiscal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2026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, Ms. Siminoff and Messrs. Gordon and Viera elected to receive 100% of these fees in</w:t>
      </w:r>
      <w:r>
        <w:rPr>
          <w:caps w:val="false"/>
          <w:smallCaps w:val="false"/>
          <w:sz w:val="24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restricted stock.</w:t>
      </w:r>
    </w:p>
    <w:tbl>
      <w:tblPr>
        <w:tblW w:w="4982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4651"/>
        <w:gridCol w:w="331"/>
      </w:tblGrid>
      <w:tr>
        <w:trPr/>
        <w:tc>
          <w:tcPr>
            <w:tcW w:w="46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651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sz w:val="24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TAKE-TWO INTERACTIVE SOFTWARE, INC.   |   2026</w:t>
            </w:r>
            <w:r>
              <w:rPr>
                <w:caps w:val="false"/>
                <w:smallCaps w:val="false"/>
                <w:strike w:val="false"/>
                <w:dstrike w:val="false"/>
                <w:color w:val="18333C"/>
                <w:sz w:val="24"/>
                <w:u w:val="none"/>
                <w:effect w:val="none"/>
              </w:rPr>
              <w:t xml:space="preserve"> 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 xml:space="preserve">Proxy Statement </w:t>
            </w:r>
          </w:p>
        </w:tc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65</w:t>
            </w:r>
          </w:p>
        </w:tc>
      </w:tr>
    </w:tbl>
    <w:p>
      <w:pPr>
        <w:pStyle w:val="TextBody"/>
        <w:bidi w:val="0"/>
        <w:spacing w:lineRule="atLeast" w:line="142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3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3"/>
          <w:u w:val="none"/>
          <w:effect w:val="none"/>
        </w:rPr>
        <w:t>EXECUTIVE COMPENSATION</w:t>
      </w:r>
    </w:p>
    <w:p>
      <w:pPr>
        <w:pStyle w:val="TextBody"/>
        <w:bidi w:val="0"/>
        <w:spacing w:lineRule="atLeast" w:line="142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2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2"/>
          <w:u w:val="none"/>
          <w:effect w:val="none"/>
        </w:rPr>
        <w:t>COMPENSATION OF DIRECTORS DURING 2026 FISCAL YEAR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B0295B"/>
          <w:sz w:val="20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B0295B"/>
          <w:sz w:val="20"/>
          <w:u w:val="none"/>
          <w:effect w:val="none"/>
        </w:rPr>
        <w:t>Shift to Annual Grant Structure for Director Compensation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In prior fiscal years, and through September 2025, the restricted stock portion of the annual retainer was granted in four equal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quarterly installments and vested on the first anniversary of the grant date (discussed below). Grants of restricted stock were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generally made on the fifth trading day following the filing of the Company’s Annual Report on Form 10-K or Quarterly Report on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Form 10-Q, as applicable. The number of shares of restricted stock granted was determined by dividing the dollar value of the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restricted stock to be delivered by the average of the closing prices of our common stock on the 30 trading days prior to the fifth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trading day following the filing of the Company’s Annual Report on Form 10-K or Quarterly Report on Form 10-Q, as applicable.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During fiscal 2026, the Company, upon the recommendation of the Compensation Committee’s independent compensation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consultant and with the approval by the Board of Directors, decided to transition to an annual grant structure for the restricted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stock portion of the annual retainer. The first annual grant was made on October 1, 2025, and future grants of restricted stock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are planned to be made on October 1st of each year. The vesting of such annual grants will be on the first anniversary of the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grant date. The number of shares of restricted stock to be granted pursuant to the annual grant will be determined by dividing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the dollar value of the restricted stock to be delivered by the average of the closing prices of our common stock on the 30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trading days prior to October 1st. For fiscal 2026, the amounts listed in the Director Compensation Table below include two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quarterly grants made in May 2025 (for service from April 1, 2025 to June 30, 2025) and August 2025 (for service from July 1,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2025 to September 30, 2025) under the old grant structure as well as the annual grant made in October 2025 (for service from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October 1, 2025 to September 30, 2026) under the new structure. As a result, solely due to the shift in grant practice, the value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of the stock awards set forth in the table below for fiscal 2026 represents the equivalent of six quarterly awards for each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director, although the amount of compensation received on an annual basis did not increase.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Under the 2017 Plan, the maximum value of awards granted to non-employee directors in any one calendar year, together with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any cash fees paid to such directors during such calendar year in respect of such director’s service as a member of the Board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of Directors during such year, may not, absent extraordinary circumstances, exceed $750,000 in total value. As determined by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the Compensation Committee in its discretion, this limit may be increased for a non-executive chair of the Board of Directors or,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in extraordinary circumstances, for other individual non-employee directors; provided that the non-employee director receiving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such additional compensation may not participate in the decision to award such compensation.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B0295B"/>
          <w:sz w:val="20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B0295B"/>
          <w:sz w:val="20"/>
          <w:u w:val="none"/>
          <w:effect w:val="none"/>
        </w:rPr>
        <w:t>Reimbursement of Certain Expenses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Non-employee directors are reimbursed for travel expenses to attend Board of Directors and committee meetings and to attend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director education seminars in accordance with policies approved from time to time.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B0295B"/>
          <w:sz w:val="20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B0295B"/>
          <w:sz w:val="20"/>
          <w:u w:val="none"/>
          <w:effect w:val="none"/>
        </w:rPr>
        <w:t>Director Stock Ownership Requirements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Under the stock ownership requirements for non-employee directors of the Company, non-employee directors are required to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own shares of common stock having a value equal to five times the annual cash retainer. Current non-employee directors are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required to achieve such stock position within five years after the date of the adoption of the requirements and future non-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employee directors shall achieve such ownership position within five years after the date of their election to the Board of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Directors. Information regarding executive officer stock ownership requirements is set forth in this Proxy Statement under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caps w:val="false"/>
          <w:smallCaps w:val="false"/>
          <w:strike w:val="false"/>
          <w:dstrike w:val="false"/>
          <w:u w:val="none"/>
          <w:effect w:val="none"/>
        </w:rPr>
        <w:t>“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Compensation Discussion and Analysis.” Each non-employee director owned shares in excess of the requirements as of the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record date.</w:t>
      </w:r>
    </w:p>
    <w:tbl>
      <w:tblPr>
        <w:tblW w:w="493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301"/>
        <w:gridCol w:w="4636"/>
      </w:tblGrid>
      <w:tr>
        <w:trPr/>
        <w:tc>
          <w:tcPr>
            <w:tcW w:w="30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0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66</w:t>
            </w:r>
          </w:p>
        </w:tc>
        <w:tc>
          <w:tcPr>
            <w:tcW w:w="4636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sz w:val="24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TAKE-TWO INTERACTIVE SOFTWARE, INC.   |   2026</w:t>
            </w:r>
            <w:r>
              <w:rPr>
                <w:caps w:val="false"/>
                <w:smallCaps w:val="false"/>
                <w:strike w:val="false"/>
                <w:dstrike w:val="false"/>
                <w:color w:val="18333C"/>
                <w:sz w:val="24"/>
                <w:u w:val="none"/>
                <w:effect w:val="none"/>
              </w:rPr>
              <w:t xml:space="preserve"> 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Proxy Statement</w:t>
            </w:r>
          </w:p>
        </w:tc>
      </w:tr>
    </w:tbl>
    <w:p>
      <w:pPr>
        <w:pStyle w:val="TextBody"/>
        <w:bidi w:val="0"/>
        <w:spacing w:lineRule="atLeast" w:line="142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3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3"/>
          <w:u w:val="none"/>
          <w:effect w:val="none"/>
        </w:rPr>
        <w:t>EXECUTIVE COMPENSATION</w:t>
      </w:r>
    </w:p>
    <w:p>
      <w:pPr>
        <w:pStyle w:val="TextBody"/>
        <w:bidi w:val="0"/>
        <w:spacing w:lineRule="atLeast" w:line="142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2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2"/>
          <w:u w:val="none"/>
          <w:effect w:val="none"/>
        </w:rPr>
        <w:t>DIRECTOR COMPENSATION TABLE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4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24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24"/>
          <w:u w:val="none"/>
          <w:effect w:val="none"/>
        </w:rPr>
        <w:t>Director Compensation Table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The following table sets forth information concerning the compensation of the Company’s non-employee directors during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fiscal 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2026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.</w:t>
      </w:r>
    </w:p>
    <w:tbl>
      <w:tblPr>
        <w:tblW w:w="4804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071"/>
        <w:gridCol w:w="1291"/>
        <w:gridCol w:w="706"/>
        <w:gridCol w:w="736"/>
      </w:tblGrid>
      <w:tr>
        <w:trPr/>
        <w:tc>
          <w:tcPr>
            <w:tcW w:w="20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71" w:type="dxa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Name</w:t>
            </w:r>
          </w:p>
        </w:tc>
        <w:tc>
          <w:tcPr>
            <w:tcW w:w="1291" w:type="dxa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Fees Earned or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Paid in Cash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($)</w:t>
            </w:r>
          </w:p>
        </w:tc>
        <w:tc>
          <w:tcPr>
            <w:tcW w:w="706" w:type="dxa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Stock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Awards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($)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0"/>
                <w:u w:val="none"/>
                <w:effect w:val="none"/>
              </w:rPr>
              <w:t>(1)</w:t>
            </w:r>
          </w:p>
        </w:tc>
        <w:tc>
          <w:tcPr>
            <w:tcW w:w="736" w:type="dxa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Total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($)</w:t>
            </w:r>
          </w:p>
        </w:tc>
      </w:tr>
      <w:tr>
        <w:trPr/>
        <w:tc>
          <w:tcPr>
            <w:tcW w:w="2071" w:type="dxa"/>
            <w:tcBorders>
              <w:top w:val="single" w:sz="4" w:space="0" w:color="18333C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sz w:val="17"/>
                <w:u w:val="none"/>
                <w:effect w:val="none"/>
              </w:rPr>
              <w:t>Michael Dornemann</w:t>
            </w:r>
          </w:p>
        </w:tc>
        <w:tc>
          <w:tcPr>
            <w:tcW w:w="1291" w:type="dxa"/>
            <w:tcBorders>
              <w:top w:val="single" w:sz="4" w:space="0" w:color="18333C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105,000</w:t>
            </w:r>
          </w:p>
        </w:tc>
        <w:tc>
          <w:tcPr>
            <w:tcW w:w="706" w:type="dxa"/>
            <w:tcBorders>
              <w:top w:val="single" w:sz="4" w:space="0" w:color="18333C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366,017</w:t>
            </w:r>
          </w:p>
        </w:tc>
        <w:tc>
          <w:tcPr>
            <w:tcW w:w="736" w:type="dxa"/>
            <w:tcBorders>
              <w:top w:val="single" w:sz="4" w:space="0" w:color="18333C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471,017</w:t>
            </w:r>
          </w:p>
        </w:tc>
      </w:tr>
      <w:tr>
        <w:trPr/>
        <w:tc>
          <w:tcPr>
            <w:tcW w:w="2071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Roland Hernandez</w:t>
            </w:r>
          </w:p>
        </w:tc>
        <w:tc>
          <w:tcPr>
            <w:tcW w:w="1291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96,060</w:t>
            </w:r>
          </w:p>
        </w:tc>
        <w:tc>
          <w:tcPr>
            <w:tcW w:w="70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366,017</w:t>
            </w:r>
          </w:p>
        </w:tc>
        <w:tc>
          <w:tcPr>
            <w:tcW w:w="73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462,077</w:t>
            </w:r>
          </w:p>
        </w:tc>
      </w:tr>
      <w:tr>
        <w:trPr/>
        <w:tc>
          <w:tcPr>
            <w:tcW w:w="2071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J Moses</w:t>
            </w:r>
          </w:p>
        </w:tc>
        <w:tc>
          <w:tcPr>
            <w:tcW w:w="1291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105,122</w:t>
            </w:r>
          </w:p>
        </w:tc>
        <w:tc>
          <w:tcPr>
            <w:tcW w:w="70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366,017</w:t>
            </w:r>
          </w:p>
        </w:tc>
        <w:tc>
          <w:tcPr>
            <w:tcW w:w="73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471,139</w:t>
            </w:r>
          </w:p>
        </w:tc>
      </w:tr>
      <w:tr>
        <w:trPr/>
        <w:tc>
          <w:tcPr>
            <w:tcW w:w="2071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Michael Sheresky</w:t>
            </w:r>
          </w:p>
        </w:tc>
        <w:tc>
          <w:tcPr>
            <w:tcW w:w="1291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99,647</w:t>
            </w:r>
          </w:p>
        </w:tc>
        <w:tc>
          <w:tcPr>
            <w:tcW w:w="70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366,017</w:t>
            </w:r>
          </w:p>
        </w:tc>
        <w:tc>
          <w:tcPr>
            <w:tcW w:w="73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465,664</w:t>
            </w:r>
          </w:p>
        </w:tc>
      </w:tr>
      <w:tr>
        <w:trPr/>
        <w:tc>
          <w:tcPr>
            <w:tcW w:w="2071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LaVerne Srinivasan</w:t>
            </w:r>
          </w:p>
        </w:tc>
        <w:tc>
          <w:tcPr>
            <w:tcW w:w="1291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165,000</w:t>
            </w:r>
          </w:p>
        </w:tc>
        <w:tc>
          <w:tcPr>
            <w:tcW w:w="70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521,768</w:t>
            </w:r>
          </w:p>
        </w:tc>
        <w:tc>
          <w:tcPr>
            <w:tcW w:w="73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686,768</w:t>
            </w:r>
          </w:p>
        </w:tc>
      </w:tr>
      <w:tr>
        <w:trPr/>
        <w:tc>
          <w:tcPr>
            <w:tcW w:w="2071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Susan Tolson</w:t>
            </w:r>
          </w:p>
        </w:tc>
        <w:tc>
          <w:tcPr>
            <w:tcW w:w="1291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109,620</w:t>
            </w:r>
          </w:p>
        </w:tc>
        <w:tc>
          <w:tcPr>
            <w:tcW w:w="70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366,017</w:t>
            </w:r>
          </w:p>
        </w:tc>
        <w:tc>
          <w:tcPr>
            <w:tcW w:w="73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475,637</w:t>
            </w:r>
          </w:p>
        </w:tc>
      </w:tr>
      <w:tr>
        <w:trPr/>
        <w:tc>
          <w:tcPr>
            <w:tcW w:w="2071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/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sz w:val="17"/>
                <w:u w:val="none"/>
                <w:effect w:val="none"/>
              </w:rPr>
              <w:t>Paul Viera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sz w:val="11"/>
                <w:u w:val="none"/>
                <w:effect w:val="none"/>
              </w:rPr>
              <w:t>(2)</w:t>
            </w:r>
          </w:p>
        </w:tc>
        <w:tc>
          <w:tcPr>
            <w:tcW w:w="1291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85,000</w:t>
            </w:r>
          </w:p>
        </w:tc>
        <w:tc>
          <w:tcPr>
            <w:tcW w:w="70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366,017</w:t>
            </w:r>
          </w:p>
        </w:tc>
        <w:tc>
          <w:tcPr>
            <w:tcW w:w="73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451,017</w:t>
            </w:r>
          </w:p>
        </w:tc>
      </w:tr>
      <w:tr>
        <w:trPr/>
        <w:tc>
          <w:tcPr>
            <w:tcW w:w="2071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/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sz w:val="17"/>
                <w:u w:val="none"/>
                <w:effect w:val="none"/>
              </w:rPr>
              <w:t>William “Bing” Gordon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sz w:val="11"/>
                <w:u w:val="none"/>
                <w:effect w:val="none"/>
              </w:rPr>
              <w:t>(3)</w:t>
            </w:r>
          </w:p>
        </w:tc>
        <w:tc>
          <w:tcPr>
            <w:tcW w:w="1291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69,620</w:t>
            </w:r>
          </w:p>
        </w:tc>
        <w:tc>
          <w:tcPr>
            <w:tcW w:w="70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366,017</w:t>
            </w:r>
          </w:p>
        </w:tc>
        <w:tc>
          <w:tcPr>
            <w:tcW w:w="73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435,637</w:t>
            </w:r>
          </w:p>
        </w:tc>
      </w:tr>
      <w:tr>
        <w:trPr/>
        <w:tc>
          <w:tcPr>
            <w:tcW w:w="2071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/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sz w:val="17"/>
                <w:u w:val="none"/>
                <w:effect w:val="none"/>
              </w:rPr>
              <w:t>Strauss Zelnick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sz w:val="11"/>
                <w:u w:val="none"/>
                <w:effect w:val="none"/>
              </w:rPr>
              <w:t>(4)</w:t>
            </w:r>
          </w:p>
        </w:tc>
        <w:tc>
          <w:tcPr>
            <w:tcW w:w="1291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70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73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</w:tr>
      <w:tr>
        <w:trPr/>
        <w:tc>
          <w:tcPr>
            <w:tcW w:w="2071" w:type="dxa"/>
            <w:tcBorders>
              <w:top w:val="single" w:sz="2" w:space="0" w:color="8C8D8F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/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sz w:val="17"/>
                <w:u w:val="none"/>
                <w:effect w:val="none"/>
              </w:rPr>
              <w:t>Ellen Siminoff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sz w:val="11"/>
                <w:u w:val="none"/>
                <w:effect w:val="none"/>
              </w:rPr>
              <w:t>(5)</w:t>
            </w:r>
          </w:p>
        </w:tc>
        <w:tc>
          <w:tcPr>
            <w:tcW w:w="1291" w:type="dxa"/>
            <w:tcBorders>
              <w:top w:val="single" w:sz="2" w:space="0" w:color="8C8D8F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95,000</w:t>
            </w:r>
          </w:p>
        </w:tc>
        <w:tc>
          <w:tcPr>
            <w:tcW w:w="706" w:type="dxa"/>
            <w:tcBorders>
              <w:top w:val="single" w:sz="2" w:space="0" w:color="8C8D8F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366,017</w:t>
            </w:r>
          </w:p>
        </w:tc>
        <w:tc>
          <w:tcPr>
            <w:tcW w:w="736" w:type="dxa"/>
            <w:tcBorders>
              <w:top w:val="single" w:sz="2" w:space="0" w:color="8C8D8F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461,017</w:t>
            </w:r>
          </w:p>
        </w:tc>
      </w:tr>
    </w:tbl>
    <w:p>
      <w:pPr>
        <w:pStyle w:val="TextBody"/>
        <w:bidi w:val="0"/>
        <w:spacing w:lineRule="atLeast" w:line="142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(1)Represents the aggregate grant date fair value of awards granted to our directors during fiscal 2026, determined under ASC Topic 718, Compensation—Stock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42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Compensation. For additional information with respect to stock awards granted during fiscal 2026, see Note 16 under the heading “Stock-Based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42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Compensation” of the Notes to Consolidated Financial Statements included in the Company’s Annual Report on Form 10-K for fiscal 2026. The amounts above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42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reflect the grant date fair value for these awards, excluding the accounting effect of any estimate of future forfeitures, and do not necessarily correspond to the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42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actual value that might be recognized by the directors. As described above, in fiscal 2026, we transitioned to an annual restricted stock grant structure in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42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October 2025 and so the amounts listed in this table include two quarterly grants made in May 2025 (for service from April 1, 2025 to June 30, 2025) and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42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August 2025 (for service from July 1, 2025 to September 30, 2025) under the old grant structure as well as the annual grant made in October 2025 (for service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42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from October 1, 2025 to September 30, 2026) under the new structure. As a result, solely due to the shift in grant practice, the value of the stock awards set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42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forth in the table for fiscal 2026 represent the equivalent of six quarterly awards, although the amount of compensation received on an annual basis did not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42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increase. As of March 31, 2026, Messrs. Dornemann, Gordon, Hernandez, Moses, Sheresky and Viera, and Mses. Siminoff, Srinivasan and Tolson held 1,483,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42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1,483, 1,483, 1,483, 1,483, 1,483, 1,483, 2,114, and 1,483 outstanding unvested restricted stock awards, respectively.</w:t>
      </w:r>
    </w:p>
    <w:p>
      <w:pPr>
        <w:pStyle w:val="TextBody"/>
        <w:bidi w:val="0"/>
        <w:spacing w:lineRule="atLeast" w:line="142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(2)For fiscal 2026, Mr. Viera elected to receive all of his annual retainer and committee fees in shares of common stock. In accordance with SEC regulations,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42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these amounts are reported in the table as fees earned or paid in cash, rather than as stock awards. On May 28, 2025, August 14, 2025, October 1, 2025 and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42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January 1, 2026, respectively, 94, 92, 87 and 86 shares of stock were granted to Mr. Viera with grant date fair values of $21,463, $21,451, $22,220 and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42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$22,019 respectively, as computed in accordance with ASC 718, </w:t>
      </w:r>
      <w:r>
        <w:rPr>
          <w:rFonts w:ascii="Arial;sans-serif" w:hAnsi="Arial;sans-serif"/>
          <w:b w:val="false"/>
          <w:i/>
          <w:strike w:val="false"/>
          <w:dstrike w:val="false"/>
          <w:sz w:val="14"/>
          <w:u w:val="none"/>
          <w:effect w:val="none"/>
        </w:rPr>
        <w:t>Compensation—Stock Compensation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.</w:t>
      </w:r>
    </w:p>
    <w:p>
      <w:pPr>
        <w:pStyle w:val="TextBody"/>
        <w:bidi w:val="0"/>
        <w:spacing w:lineRule="atLeast" w:line="142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(3)For fiscal 2026, Mr. Gordon elected to receive all of his annual retainer and committee fees in shares of common stock. In accordance with SEC regulations,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42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these amounts are reported in the table as fees earned or paid in cash, rather than as stock awards. On May 28, 2025, August 14, 2025, October 1, 2025 and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42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January 1, 2026, respectively, 72, 70, 66, and 84 shares of stock were granted to Mr. Gordon with grant date fair values of $16,440, $16,321, $16,856, and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42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$21,507, respectively, as computed in accordance with ASC 718, </w:t>
      </w:r>
      <w:r>
        <w:rPr>
          <w:rFonts w:ascii="Arial;sans-serif" w:hAnsi="Arial;sans-serif"/>
          <w:b w:val="false"/>
          <w:i/>
          <w:strike w:val="false"/>
          <w:dstrike w:val="false"/>
          <w:sz w:val="14"/>
          <w:u w:val="none"/>
          <w:effect w:val="none"/>
        </w:rPr>
        <w:t>Compensation—Stock Compensation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.</w:t>
      </w:r>
    </w:p>
    <w:p>
      <w:pPr>
        <w:pStyle w:val="TextBody"/>
        <w:bidi w:val="0"/>
        <w:spacing w:lineRule="atLeast" w:line="142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(4)Mr. Zelnick serves as our CEO and therefore he does not receive any compensation for serving as a director.</w:t>
      </w:r>
    </w:p>
    <w:p>
      <w:pPr>
        <w:pStyle w:val="TextBody"/>
        <w:bidi w:val="0"/>
        <w:spacing w:lineRule="atLeast" w:line="142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(5)For fiscal 2026, Ms. Siminoff elected to receive all of her annual retainer and committee fees in shares of common stock. In accordance with SEC regulations,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42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these amounts are reported in the table as fees earned or paid in cash, rather than as stock awards. On May 28, 2025, August 14, 2025, October 1, 2025 and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42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January 1, 2026, respectively, 105, 102, 97, and 96 shares of stock were granted to Ms. Siminoff with grant date fair values of $23,975, $23,782, $24,774, and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42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$24,579, respectively, as computed in accordance with ASC 718, </w:t>
      </w:r>
      <w:r>
        <w:rPr>
          <w:rFonts w:ascii="Arial;sans-serif" w:hAnsi="Arial;sans-serif"/>
          <w:b w:val="false"/>
          <w:i/>
          <w:strike w:val="false"/>
          <w:dstrike w:val="false"/>
          <w:sz w:val="14"/>
          <w:u w:val="none"/>
          <w:effect w:val="none"/>
        </w:rPr>
        <w:t>Compensation—Stock Compensation.</w:t>
      </w:r>
    </w:p>
    <w:tbl>
      <w:tblPr>
        <w:tblW w:w="4982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4651"/>
        <w:gridCol w:w="331"/>
      </w:tblGrid>
      <w:tr>
        <w:trPr/>
        <w:tc>
          <w:tcPr>
            <w:tcW w:w="46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651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sz w:val="24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TAKE-TWO INTERACTIVE SOFTWARE, INC.   |   2026</w:t>
            </w:r>
            <w:r>
              <w:rPr>
                <w:caps w:val="false"/>
                <w:smallCaps w:val="false"/>
                <w:strike w:val="false"/>
                <w:dstrike w:val="false"/>
                <w:color w:val="18333C"/>
                <w:sz w:val="24"/>
                <w:u w:val="none"/>
                <w:effect w:val="none"/>
              </w:rPr>
              <w:t xml:space="preserve"> 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 xml:space="preserve">Proxy Statement </w:t>
            </w:r>
          </w:p>
        </w:tc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67</w:t>
            </w:r>
          </w:p>
        </w:tc>
      </w:tr>
    </w:tbl>
    <w:p>
      <w:pPr>
        <w:pStyle w:val="TextBody"/>
        <w:bidi w:val="0"/>
        <w:spacing w:lineRule="atLeast" w:line="142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3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3"/>
          <w:u w:val="none"/>
          <w:effect w:val="none"/>
        </w:rPr>
        <w:t>EXECUTIVE COMPENSATION</w:t>
      </w:r>
    </w:p>
    <w:p>
      <w:pPr>
        <w:pStyle w:val="TextBody"/>
        <w:bidi w:val="0"/>
        <w:spacing w:lineRule="atLeast" w:line="142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2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2"/>
          <w:u w:val="none"/>
          <w:effect w:val="none"/>
        </w:rPr>
        <w:t>EQUITY COMPENSATION PLAN INFORMATION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8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28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28"/>
          <w:u w:val="none"/>
          <w:effect w:val="none"/>
        </w:rPr>
        <w:t>Equity Compensation Plan Information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 xml:space="preserve">The following table presents information concerning our equity compensation plans as of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March 31, 2026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:</w:t>
      </w:r>
    </w:p>
    <w:tbl>
      <w:tblPr>
        <w:tblW w:w="981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4306"/>
        <w:gridCol w:w="1321"/>
        <w:gridCol w:w="1321"/>
        <w:gridCol w:w="1381"/>
        <w:gridCol w:w="1486"/>
      </w:tblGrid>
      <w:tr>
        <w:trPr/>
        <w:tc>
          <w:tcPr>
            <w:tcW w:w="43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2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2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8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8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306" w:type="dxa"/>
            <w:tcBorders>
              <w:bottom w:val="single" w:sz="4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Plan Category</w:t>
            </w:r>
          </w:p>
        </w:tc>
        <w:tc>
          <w:tcPr>
            <w:tcW w:w="1321" w:type="dxa"/>
            <w:tcBorders>
              <w:bottom w:val="single" w:sz="4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Number of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Securities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to be Issued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Upon Exercise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of Outstanding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Options,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Warrants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and Rights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0"/>
                <w:u w:val="none"/>
                <w:effect w:val="none"/>
              </w:rPr>
              <w:t>(1)(2)</w:t>
            </w:r>
          </w:p>
        </w:tc>
        <w:tc>
          <w:tcPr>
            <w:tcW w:w="1321" w:type="dxa"/>
            <w:tcBorders>
              <w:bottom w:val="single" w:sz="4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Weighted-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Average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Exercise Price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of Outstanding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Options,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Warrants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and Rights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($)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0"/>
                <w:u w:val="none"/>
                <w:effect w:val="none"/>
              </w:rPr>
              <w:t>(3)</w:t>
            </w:r>
          </w:p>
        </w:tc>
        <w:tc>
          <w:tcPr>
            <w:tcW w:w="1381" w:type="dxa"/>
            <w:tcBorders>
              <w:bottom w:val="single" w:sz="4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Weighted-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Average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Remaining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Contractual Life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of Outstanding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Options,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Warrants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and Rights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(years)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0"/>
                <w:u w:val="none"/>
                <w:effect w:val="none"/>
              </w:rPr>
              <w:t>(3)</w:t>
            </w:r>
          </w:p>
        </w:tc>
        <w:tc>
          <w:tcPr>
            <w:tcW w:w="1486" w:type="dxa"/>
            <w:tcBorders>
              <w:bottom w:val="single" w:sz="4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Number of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Securities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Remaining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Available for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Future Issuance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Under Equity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Compensation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Plans (Excluding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Securities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Reflected in the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First Column)</w:t>
            </w:r>
          </w:p>
        </w:tc>
      </w:tr>
      <w:tr>
        <w:trPr/>
        <w:tc>
          <w:tcPr>
            <w:tcW w:w="4306" w:type="dxa"/>
            <w:tcBorders>
              <w:top w:val="single" w:sz="4" w:space="0" w:color="000000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Equity compensation plans approved by shareholders</w:t>
            </w:r>
          </w:p>
        </w:tc>
        <w:tc>
          <w:tcPr>
            <w:tcW w:w="1321" w:type="dxa"/>
            <w:tcBorders>
              <w:top w:val="single" w:sz="4" w:space="0" w:color="000000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8,458,572</w:t>
            </w:r>
          </w:p>
        </w:tc>
        <w:tc>
          <w:tcPr>
            <w:tcW w:w="1321" w:type="dxa"/>
            <w:tcBorders>
              <w:top w:val="single" w:sz="4" w:space="0" w:color="000000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27.43</w:t>
            </w:r>
          </w:p>
        </w:tc>
        <w:tc>
          <w:tcPr>
            <w:tcW w:w="1381" w:type="dxa"/>
            <w:tcBorders>
              <w:top w:val="single" w:sz="4" w:space="0" w:color="000000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3.29</w:t>
            </w:r>
          </w:p>
        </w:tc>
        <w:tc>
          <w:tcPr>
            <w:tcW w:w="1486" w:type="dxa"/>
            <w:tcBorders>
              <w:top w:val="single" w:sz="4" w:space="0" w:color="000000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sz w:val="24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7"/>
                <w:u w:val="none"/>
                <w:effect w:val="none"/>
              </w:rPr>
              <w:t>18,419,808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1"/>
                <w:u w:val="none"/>
                <w:effect w:val="none"/>
              </w:rPr>
              <w:t>(4)</w:t>
            </w:r>
          </w:p>
        </w:tc>
      </w:tr>
      <w:tr>
        <w:trPr/>
        <w:tc>
          <w:tcPr>
            <w:tcW w:w="430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Equity compensation plans not approved by shareholders</w:t>
            </w:r>
          </w:p>
        </w:tc>
        <w:tc>
          <w:tcPr>
            <w:tcW w:w="1321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321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381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48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>—</w:t>
            </w:r>
          </w:p>
        </w:tc>
      </w:tr>
      <w:tr>
        <w:trPr/>
        <w:tc>
          <w:tcPr>
            <w:tcW w:w="4306" w:type="dxa"/>
            <w:tcBorders>
              <w:top w:val="single" w:sz="2" w:space="0" w:color="8C8D8F"/>
              <w:bottom w:val="single" w:sz="4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Total</w:t>
            </w:r>
          </w:p>
        </w:tc>
        <w:tc>
          <w:tcPr>
            <w:tcW w:w="1321" w:type="dxa"/>
            <w:tcBorders>
              <w:top w:val="single" w:sz="2" w:space="0" w:color="8C8D8F"/>
              <w:bottom w:val="single" w:sz="4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8,458,572</w:t>
            </w:r>
          </w:p>
        </w:tc>
        <w:tc>
          <w:tcPr>
            <w:tcW w:w="1321" w:type="dxa"/>
            <w:tcBorders>
              <w:top w:val="single" w:sz="2" w:space="0" w:color="8C8D8F"/>
              <w:bottom w:val="single" w:sz="4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27.43</w:t>
            </w:r>
          </w:p>
        </w:tc>
        <w:tc>
          <w:tcPr>
            <w:tcW w:w="1381" w:type="dxa"/>
            <w:tcBorders>
              <w:top w:val="single" w:sz="2" w:space="0" w:color="8C8D8F"/>
              <w:bottom w:val="single" w:sz="4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3.29</w:t>
            </w:r>
          </w:p>
        </w:tc>
        <w:tc>
          <w:tcPr>
            <w:tcW w:w="1486" w:type="dxa"/>
            <w:tcBorders>
              <w:top w:val="single" w:sz="2" w:space="0" w:color="8C8D8F"/>
              <w:bottom w:val="single" w:sz="4" w:space="0" w:color="000000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18,419,808</w:t>
            </w:r>
          </w:p>
        </w:tc>
      </w:tr>
    </w:tbl>
    <w:p>
      <w:pPr>
        <w:pStyle w:val="TextBody"/>
        <w:bidi w:val="0"/>
        <w:spacing w:lineRule="atLeast" w:line="142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(1)As of March 31, 2026, the Company also had 13,978 shares of outstanding restricted stock, which are not reflected in the table because they are treated as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42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issued and outstanding and will not have additional dilutive impact on the Company when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the awards vest.</w:t>
      </w:r>
    </w:p>
    <w:p>
      <w:pPr>
        <w:pStyle w:val="TextBody"/>
        <w:bidi w:val="0"/>
        <w:spacing w:lineRule="atLeast" w:line="142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(2)As of March 31, 2026, the Company had 140 stock options outstanding, all of which were assumed by the Company in connection with its acquisitions of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42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Playdots in September 2020 and Zynga in May 2022, which options are included in the amount shown.</w:t>
      </w:r>
    </w:p>
    <w:p>
      <w:pPr>
        <w:pStyle w:val="TextBody"/>
        <w:bidi w:val="0"/>
        <w:spacing w:lineRule="atLeast" w:line="142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(3)Relates only to the Company’s outstanding options.</w:t>
      </w:r>
    </w:p>
    <w:p>
      <w:pPr>
        <w:pStyle w:val="TextBody"/>
        <w:bidi w:val="0"/>
        <w:spacing w:lineRule="atLeast" w:line="142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(4)As of March 31, 2026, consisted of (i) 11,207,131 shares of common stock remaining available for future issuance under the 2017 Plan and (ii) 7,212,677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42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shares of common stock remaining available for future issuance under the 2017 Global ESPP. After giving effect to the purchase on April 30, 2026, by our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42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employees of an aggregate of 175,071 shares of common stock pursuant to the 2017 Global ESPP, there were 7,037,606 shares of common stock remaining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42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available for future issuance under the 2017 Global ESPP.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4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24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24"/>
          <w:u w:val="none"/>
          <w:effect w:val="none"/>
        </w:rPr>
        <w:t>Compensation Committee Interlocks and Insider Participation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 xml:space="preserve">During fiscal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2026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, Messrs. Dornemann, Hernandez, Moses and Sheresky served as members of the Compensation</w:t>
      </w:r>
      <w:r>
        <w:rPr>
          <w:caps w:val="false"/>
          <w:smallCaps w:val="false"/>
          <w:sz w:val="24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 xml:space="preserve">Committee. During fiscal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2026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: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caps w:val="false"/>
          <w:smallCaps w:val="false"/>
          <w:strike w:val="false"/>
          <w:dstrike w:val="false"/>
          <w:color w:val="18333C"/>
          <w:u w:val="none"/>
          <w:effect w:val="non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none of the members of the Compensation Committee was an officer (or former officer) or employee of the Company or any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of its subsidiaries;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caps w:val="false"/>
          <w:smallCaps w:val="false"/>
          <w:strike w:val="false"/>
          <w:dstrike w:val="false"/>
          <w:color w:val="18333C"/>
          <w:u w:val="none"/>
          <w:effect w:val="non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none of the members of the Compensation Committee had a direct or indirect material interest in any transaction in which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the Company was a participant and the amount involved exceeded $120,000;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caps w:val="false"/>
          <w:smallCaps w:val="false"/>
          <w:strike w:val="false"/>
          <w:dstrike w:val="false"/>
          <w:color w:val="18333C"/>
          <w:u w:val="none"/>
          <w:effect w:val="non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none of the Company’s executive officers served on the compensation committee (or another board committee with similar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functions or, if none, the entire board) of another entity where one of that entity’s executive officers served on the Company’s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Compensation Committee;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caps w:val="false"/>
          <w:smallCaps w:val="false"/>
          <w:strike w:val="false"/>
          <w:dstrike w:val="false"/>
          <w:color w:val="18333C"/>
          <w:u w:val="none"/>
          <w:effect w:val="non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none of the Company’s executive officers was a director of another entity where one of that entity’s executive officers served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on the Company’s Compensation Committee; and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caps w:val="false"/>
          <w:smallCaps w:val="false"/>
          <w:strike w:val="false"/>
          <w:dstrike w:val="false"/>
          <w:color w:val="18333C"/>
          <w:u w:val="none"/>
          <w:effect w:val="none"/>
        </w:rPr>
        <w:t>•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none of the Company’s executive officers served on the compensation committee (or another board committee with similar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functions or, if none, the entire board of directors) of another entity where one of that entity’s executive officers served as a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director on the Board of Directors.</w:t>
      </w:r>
    </w:p>
    <w:tbl>
      <w:tblPr>
        <w:tblW w:w="493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301"/>
        <w:gridCol w:w="4636"/>
      </w:tblGrid>
      <w:tr>
        <w:trPr/>
        <w:tc>
          <w:tcPr>
            <w:tcW w:w="30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0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68</w:t>
            </w:r>
          </w:p>
        </w:tc>
        <w:tc>
          <w:tcPr>
            <w:tcW w:w="4636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sz w:val="24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TAKE-TWO INTERACTIVE SOFTWARE, INC.   |   2026</w:t>
            </w:r>
            <w:r>
              <w:rPr>
                <w:caps w:val="false"/>
                <w:smallCaps w:val="false"/>
                <w:strike w:val="false"/>
                <w:dstrike w:val="false"/>
                <w:color w:val="18333C"/>
                <w:sz w:val="24"/>
                <w:u w:val="none"/>
                <w:effect w:val="none"/>
              </w:rPr>
              <w:t xml:space="preserve"> 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Proxy Statement</w:t>
            </w:r>
          </w:p>
        </w:tc>
      </w:tr>
    </w:tbl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38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38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38"/>
          <w:u w:val="none"/>
          <w:effect w:val="none"/>
        </w:rPr>
        <w:t xml:space="preserve">VOTING SECURITY OWNERSHIP OF CERTAIN </w:t>
      </w:r>
    </w:p>
    <w:p>
      <w:pPr>
        <w:pStyle w:val="TextBody"/>
        <w:bidi w:val="0"/>
        <w:spacing w:lineRule="atLeast" w:line="38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38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38"/>
          <w:u w:val="none"/>
          <w:effect w:val="none"/>
        </w:rPr>
        <w:t>BENEFICIAL OWNERS AND MANAGEMENT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 xml:space="preserve">The following table sets forth certain information as of July 15,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2026</w:t>
      </w:r>
      <w:r>
        <w:rPr>
          <w:caps w:val="false"/>
          <w:smallCaps w:val="false"/>
          <w:sz w:val="24"/>
          <w:u w:val="singl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(unless otherwise noted) relating to the beneficial</w:t>
      </w:r>
      <w:r>
        <w:rPr>
          <w:caps w:val="false"/>
          <w:smallCaps w:val="false"/>
          <w:sz w:val="24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ownership of shares of the common stock by (i) each person or entity who is known by the Company to own beneficially five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percent or more of the outstanding common stock, (ii) each current director, (iii) each director nominee, (iv) each of the NEOs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and (v) all current directors and executive officers as a group.</w:t>
      </w:r>
    </w:p>
    <w:tbl>
      <w:tblPr>
        <w:tblW w:w="8658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4966"/>
        <w:gridCol w:w="1756"/>
        <w:gridCol w:w="1936"/>
      </w:tblGrid>
      <w:tr>
        <w:trPr/>
        <w:tc>
          <w:tcPr>
            <w:tcW w:w="496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5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9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966" w:type="dxa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Name and Address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of Beneficial Owner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0"/>
                <w:u w:val="none"/>
                <w:effect w:val="none"/>
              </w:rPr>
              <w:t>(1)</w:t>
            </w:r>
          </w:p>
        </w:tc>
        <w:tc>
          <w:tcPr>
            <w:tcW w:w="1756" w:type="dxa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Number of Shares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of Common Stock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/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Beneficially Owned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0"/>
                <w:u w:val="none"/>
                <w:effect w:val="none"/>
              </w:rPr>
              <w:t>(2)</w:t>
            </w:r>
          </w:p>
        </w:tc>
        <w:tc>
          <w:tcPr>
            <w:tcW w:w="1936" w:type="dxa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Percentage of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Outstanding Common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Stock Beneficially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Owned</w:t>
            </w:r>
          </w:p>
        </w:tc>
      </w:tr>
      <w:tr>
        <w:trPr/>
        <w:tc>
          <w:tcPr>
            <w:tcW w:w="4966" w:type="dxa"/>
            <w:tcBorders>
              <w:top w:val="single" w:sz="4" w:space="0" w:color="18333C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/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sz w:val="17"/>
                <w:u w:val="none"/>
                <w:effect w:val="none"/>
              </w:rPr>
              <w:t>Vanguard Capital Management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sz w:val="11"/>
                <w:u w:val="none"/>
                <w:effect w:val="none"/>
              </w:rPr>
              <w:t>(3)</w:t>
            </w:r>
          </w:p>
        </w:tc>
        <w:tc>
          <w:tcPr>
            <w:tcW w:w="1756" w:type="dxa"/>
            <w:tcBorders>
              <w:top w:val="single" w:sz="4" w:space="0" w:color="18333C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13,131,908</w:t>
            </w:r>
          </w:p>
        </w:tc>
        <w:tc>
          <w:tcPr>
            <w:tcW w:w="1936" w:type="dxa"/>
            <w:tcBorders>
              <w:top w:val="single" w:sz="4" w:space="0" w:color="18333C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7.02%</w:t>
            </w:r>
          </w:p>
        </w:tc>
      </w:tr>
      <w:tr>
        <w:trPr/>
        <w:tc>
          <w:tcPr>
            <w:tcW w:w="496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/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sz w:val="17"/>
                <w:u w:val="none"/>
                <w:effect w:val="none"/>
              </w:rPr>
              <w:t>BlackRock, Inc.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sz w:val="11"/>
                <w:u w:val="none"/>
                <w:effect w:val="none"/>
              </w:rPr>
              <w:t>(4)</w:t>
            </w:r>
          </w:p>
        </w:tc>
        <w:tc>
          <w:tcPr>
            <w:tcW w:w="175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12,726,923</w:t>
            </w:r>
          </w:p>
        </w:tc>
        <w:tc>
          <w:tcPr>
            <w:tcW w:w="193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6.81%</w:t>
            </w:r>
          </w:p>
        </w:tc>
      </w:tr>
      <w:tr>
        <w:trPr/>
        <w:tc>
          <w:tcPr>
            <w:tcW w:w="496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/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sz w:val="17"/>
                <w:u w:val="none"/>
                <w:effect w:val="none"/>
              </w:rPr>
              <w:t>State Street Corporation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sz w:val="11"/>
                <w:u w:val="none"/>
                <w:effect w:val="none"/>
              </w:rPr>
              <w:t>(5)</w:t>
            </w:r>
          </w:p>
        </w:tc>
        <w:tc>
          <w:tcPr>
            <w:tcW w:w="175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12,026,195</w:t>
            </w:r>
          </w:p>
        </w:tc>
        <w:tc>
          <w:tcPr>
            <w:tcW w:w="193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6.43%</w:t>
            </w:r>
          </w:p>
        </w:tc>
      </w:tr>
      <w:tr>
        <w:trPr/>
        <w:tc>
          <w:tcPr>
            <w:tcW w:w="496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/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sz w:val="17"/>
                <w:u w:val="none"/>
                <w:effect w:val="none"/>
              </w:rPr>
              <w:t>Public Investment Fund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sz w:val="11"/>
                <w:u w:val="none"/>
                <w:effect w:val="none"/>
              </w:rPr>
              <w:t>(6)</w:t>
            </w:r>
          </w:p>
        </w:tc>
        <w:tc>
          <w:tcPr>
            <w:tcW w:w="175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11,414,680</w:t>
            </w:r>
          </w:p>
        </w:tc>
        <w:tc>
          <w:tcPr>
            <w:tcW w:w="193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6.10%</w:t>
            </w:r>
          </w:p>
        </w:tc>
      </w:tr>
      <w:tr>
        <w:trPr/>
        <w:tc>
          <w:tcPr>
            <w:tcW w:w="496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/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sz w:val="17"/>
                <w:u w:val="none"/>
                <w:effect w:val="none"/>
              </w:rPr>
              <w:t>JPMorgan Chase &amp; Co.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sz w:val="11"/>
                <w:u w:val="none"/>
                <w:effect w:val="none"/>
              </w:rPr>
              <w:t>(7)</w:t>
            </w:r>
          </w:p>
        </w:tc>
        <w:tc>
          <w:tcPr>
            <w:tcW w:w="175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9,303,967</w:t>
            </w:r>
          </w:p>
        </w:tc>
        <w:tc>
          <w:tcPr>
            <w:tcW w:w="193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4.98%</w:t>
            </w:r>
          </w:p>
        </w:tc>
      </w:tr>
      <w:tr>
        <w:trPr/>
        <w:tc>
          <w:tcPr>
            <w:tcW w:w="496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/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sz w:val="17"/>
                <w:u w:val="none"/>
                <w:effect w:val="none"/>
              </w:rPr>
              <w:t>Strauss Zelnick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sz w:val="11"/>
                <w:u w:val="none"/>
                <w:effect w:val="none"/>
              </w:rPr>
              <w:t>(8)</w:t>
            </w:r>
          </w:p>
        </w:tc>
        <w:tc>
          <w:tcPr>
            <w:tcW w:w="175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1,382,568</w:t>
            </w:r>
          </w:p>
        </w:tc>
        <w:tc>
          <w:tcPr>
            <w:tcW w:w="193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*</w:t>
            </w:r>
          </w:p>
        </w:tc>
      </w:tr>
      <w:tr>
        <w:trPr/>
        <w:tc>
          <w:tcPr>
            <w:tcW w:w="496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/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sz w:val="17"/>
                <w:u w:val="none"/>
                <w:effect w:val="none"/>
              </w:rPr>
              <w:t>Karl Slatoff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sz w:val="11"/>
                <w:u w:val="none"/>
                <w:effect w:val="none"/>
              </w:rPr>
              <w:t>(9)</w:t>
            </w:r>
          </w:p>
        </w:tc>
        <w:tc>
          <w:tcPr>
            <w:tcW w:w="175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1,126,165</w:t>
            </w:r>
          </w:p>
        </w:tc>
        <w:tc>
          <w:tcPr>
            <w:tcW w:w="193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*</w:t>
            </w:r>
          </w:p>
        </w:tc>
      </w:tr>
      <w:tr>
        <w:trPr/>
        <w:tc>
          <w:tcPr>
            <w:tcW w:w="496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/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sz w:val="17"/>
                <w:u w:val="none"/>
                <w:effect w:val="none"/>
              </w:rPr>
              <w:t>Lainie Goldstein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sz w:val="11"/>
                <w:u w:val="none"/>
                <w:effect w:val="none"/>
              </w:rPr>
              <w:t>(10)</w:t>
            </w:r>
          </w:p>
        </w:tc>
        <w:tc>
          <w:tcPr>
            <w:tcW w:w="175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283,374</w:t>
            </w:r>
          </w:p>
        </w:tc>
        <w:tc>
          <w:tcPr>
            <w:tcW w:w="193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*</w:t>
            </w:r>
          </w:p>
        </w:tc>
      </w:tr>
      <w:tr>
        <w:trPr/>
        <w:tc>
          <w:tcPr>
            <w:tcW w:w="496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/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sz w:val="17"/>
                <w:u w:val="none"/>
                <w:effect w:val="none"/>
              </w:rPr>
              <w:t>Daniel Emerson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sz w:val="11"/>
                <w:u w:val="none"/>
                <w:effect w:val="none"/>
              </w:rPr>
              <w:t>(11)</w:t>
            </w:r>
          </w:p>
        </w:tc>
        <w:tc>
          <w:tcPr>
            <w:tcW w:w="175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113,988</w:t>
            </w:r>
          </w:p>
        </w:tc>
        <w:tc>
          <w:tcPr>
            <w:tcW w:w="193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*</w:t>
            </w:r>
          </w:p>
        </w:tc>
      </w:tr>
      <w:tr>
        <w:trPr/>
        <w:tc>
          <w:tcPr>
            <w:tcW w:w="496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J Moses</w:t>
            </w:r>
          </w:p>
        </w:tc>
        <w:tc>
          <w:tcPr>
            <w:tcW w:w="175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21,868</w:t>
            </w:r>
          </w:p>
        </w:tc>
        <w:tc>
          <w:tcPr>
            <w:tcW w:w="193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*</w:t>
            </w:r>
          </w:p>
        </w:tc>
      </w:tr>
      <w:tr>
        <w:trPr/>
        <w:tc>
          <w:tcPr>
            <w:tcW w:w="496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Michael Sheresky</w:t>
            </w:r>
          </w:p>
        </w:tc>
        <w:tc>
          <w:tcPr>
            <w:tcW w:w="175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65,495</w:t>
            </w:r>
          </w:p>
        </w:tc>
        <w:tc>
          <w:tcPr>
            <w:tcW w:w="193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*</w:t>
            </w:r>
          </w:p>
        </w:tc>
      </w:tr>
      <w:tr>
        <w:trPr/>
        <w:tc>
          <w:tcPr>
            <w:tcW w:w="496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Michael Dornemann</w:t>
            </w:r>
          </w:p>
        </w:tc>
        <w:tc>
          <w:tcPr>
            <w:tcW w:w="175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20,374</w:t>
            </w:r>
          </w:p>
        </w:tc>
        <w:tc>
          <w:tcPr>
            <w:tcW w:w="193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*</w:t>
            </w:r>
          </w:p>
        </w:tc>
      </w:tr>
      <w:tr>
        <w:trPr/>
        <w:tc>
          <w:tcPr>
            <w:tcW w:w="496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LaVerne Srinivasan</w:t>
            </w:r>
          </w:p>
        </w:tc>
        <w:tc>
          <w:tcPr>
            <w:tcW w:w="175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8,719</w:t>
            </w:r>
          </w:p>
        </w:tc>
        <w:tc>
          <w:tcPr>
            <w:tcW w:w="193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*</w:t>
            </w:r>
          </w:p>
        </w:tc>
      </w:tr>
      <w:tr>
        <w:trPr/>
        <w:tc>
          <w:tcPr>
            <w:tcW w:w="496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Susan Tolson</w:t>
            </w:r>
          </w:p>
        </w:tc>
        <w:tc>
          <w:tcPr>
            <w:tcW w:w="175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32,122</w:t>
            </w:r>
          </w:p>
        </w:tc>
        <w:tc>
          <w:tcPr>
            <w:tcW w:w="193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*</w:t>
            </w:r>
          </w:p>
        </w:tc>
      </w:tr>
      <w:tr>
        <w:trPr/>
        <w:tc>
          <w:tcPr>
            <w:tcW w:w="496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/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sz w:val="17"/>
                <w:u w:val="none"/>
                <w:effect w:val="none"/>
              </w:rPr>
              <w:t>Paul Viera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sz w:val="11"/>
                <w:u w:val="none"/>
                <w:effect w:val="none"/>
              </w:rPr>
              <w:t>(12)</w:t>
            </w:r>
          </w:p>
        </w:tc>
        <w:tc>
          <w:tcPr>
            <w:tcW w:w="175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92,347</w:t>
            </w:r>
          </w:p>
        </w:tc>
        <w:tc>
          <w:tcPr>
            <w:tcW w:w="193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*</w:t>
            </w:r>
          </w:p>
        </w:tc>
      </w:tr>
      <w:tr>
        <w:trPr/>
        <w:tc>
          <w:tcPr>
            <w:tcW w:w="496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Roland Hernandez</w:t>
            </w:r>
          </w:p>
        </w:tc>
        <w:tc>
          <w:tcPr>
            <w:tcW w:w="175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10,727</w:t>
            </w:r>
          </w:p>
        </w:tc>
        <w:tc>
          <w:tcPr>
            <w:tcW w:w="193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*</w:t>
            </w:r>
          </w:p>
        </w:tc>
      </w:tr>
      <w:tr>
        <w:trPr/>
        <w:tc>
          <w:tcPr>
            <w:tcW w:w="496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William B. Gordon</w:t>
            </w:r>
          </w:p>
        </w:tc>
        <w:tc>
          <w:tcPr>
            <w:tcW w:w="175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57,187</w:t>
            </w:r>
          </w:p>
        </w:tc>
        <w:tc>
          <w:tcPr>
            <w:tcW w:w="193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*</w:t>
            </w:r>
          </w:p>
        </w:tc>
      </w:tr>
      <w:tr>
        <w:trPr/>
        <w:tc>
          <w:tcPr>
            <w:tcW w:w="496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/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sz w:val="17"/>
                <w:u w:val="none"/>
                <w:effect w:val="none"/>
              </w:rPr>
              <w:t>Ellen Siminoff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sz w:val="11"/>
                <w:u w:val="none"/>
                <w:effect w:val="none"/>
              </w:rPr>
              <w:t>(13)</w:t>
            </w:r>
          </w:p>
        </w:tc>
        <w:tc>
          <w:tcPr>
            <w:tcW w:w="175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12,237</w:t>
            </w:r>
          </w:p>
        </w:tc>
        <w:tc>
          <w:tcPr>
            <w:tcW w:w="193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*</w:t>
            </w:r>
          </w:p>
        </w:tc>
      </w:tr>
      <w:tr>
        <w:trPr/>
        <w:tc>
          <w:tcPr>
            <w:tcW w:w="4966" w:type="dxa"/>
            <w:tcBorders>
              <w:top w:val="single" w:sz="2" w:space="0" w:color="8C8D8F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/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sz w:val="17"/>
                <w:u w:val="none"/>
                <w:effect w:val="none"/>
              </w:rPr>
              <w:t>All directors and executive officers as a group (13 persons)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sz w:val="11"/>
                <w:u w:val="none"/>
                <w:effect w:val="none"/>
              </w:rPr>
              <w:t>(14)</w:t>
            </w:r>
          </w:p>
        </w:tc>
        <w:tc>
          <w:tcPr>
            <w:tcW w:w="1756" w:type="dxa"/>
            <w:tcBorders>
              <w:top w:val="single" w:sz="2" w:space="0" w:color="8C8D8F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2,101,061</w:t>
            </w:r>
          </w:p>
        </w:tc>
        <w:tc>
          <w:tcPr>
            <w:tcW w:w="1936" w:type="dxa"/>
            <w:tcBorders>
              <w:top w:val="single" w:sz="2" w:space="0" w:color="8C8D8F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1.12%</w:t>
            </w:r>
          </w:p>
        </w:tc>
      </w:tr>
    </w:tbl>
    <w:p>
      <w:pPr>
        <w:pStyle w:val="TextBody"/>
        <w:bidi w:val="0"/>
        <w:spacing w:lineRule="atLeast" w:line="142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*Less than 1%.</w:t>
      </w:r>
    </w:p>
    <w:p>
      <w:pPr>
        <w:pStyle w:val="TextBody"/>
        <w:bidi w:val="0"/>
        <w:spacing w:lineRule="atLeast" w:line="142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(1)Unless otherwise indicated, the address of each beneficial owner is Take-Two Interactive Software, Inc., 110 West 44th Street, New York, New York 10036. The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42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address for Vanguard Capital Management is 100 Vanguard Blvd., Malvern, Pennsylvania 19355. The address of BlackRock, Inc. is 55 East 52nd Street, New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42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York, New York 10055. The address for State Street Corporation is One Congress Street, Suite 1, Boston, MA 02114. The address for the Public Investment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42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Fund is The Public Investment Fund Tower, King Abdullah Financial District (KAFD), Al Aqiq District, Riyadh, Kingdom of Saudi Arabia. The address for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42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JPMorgan Chase &amp; Co. is 383 Madison Avenue, New York, NY 10179.</w:t>
      </w:r>
    </w:p>
    <w:p>
      <w:pPr>
        <w:pStyle w:val="TextBody"/>
        <w:bidi w:val="0"/>
        <w:spacing w:lineRule="atLeast" w:line="142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(2)Unless otherwise indicated, the Company believes that all persons named in the table have sole voting and investment power with respect to all shares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42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beneficially owned by them. A person is deemed to be the beneficial owner of securities that may be acquired by such person within 60 days after July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42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15, 2026, and is not deemed to be the beneficial owner of securities that may not be acquired within 60 days after July 15, 2026. Each beneficial owner’s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42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percentage ownership is determined by assuming that exercisable securities that are held by such person (but not those held by any other person), and which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42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are exercisable within 60 days after July 15, 2026, have been exercised.</w:t>
      </w:r>
    </w:p>
    <w:p>
      <w:pPr>
        <w:pStyle w:val="TextBody"/>
        <w:bidi w:val="0"/>
        <w:spacing w:lineRule="atLeast" w:line="142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(3)Based on information contained in a report on Schedule 13G filed with the SEC on April 30, 2026.</w:t>
      </w:r>
    </w:p>
    <w:p>
      <w:pPr>
        <w:pStyle w:val="TextBody"/>
        <w:bidi w:val="0"/>
        <w:spacing w:lineRule="atLeast" w:line="142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(4)Based on information contained in a report on Schedule 13G/A filed with the SEC on January 26, 2024.</w:t>
      </w:r>
    </w:p>
    <w:p>
      <w:pPr>
        <w:pStyle w:val="TextBody"/>
        <w:bidi w:val="0"/>
        <w:spacing w:lineRule="atLeast" w:line="142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(5)Based on information contained in a report on Schedule 13G filed with the SEC on May 12, 2026.</w:t>
      </w:r>
    </w:p>
    <w:p>
      <w:pPr>
        <w:pStyle w:val="TextBody"/>
        <w:bidi w:val="0"/>
        <w:spacing w:lineRule="atLeast" w:line="142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(6)Based on information contained in a report on Schedule 13G/A filed with the SEC on December 31, 2025 by The Public Investment Fund (“PIF”), Saudi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42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Electronic Games Holding Company (“Savvy”) and The Saudi Fourth Investment Company (“Saudi Fourth”). According to the Schedule 13G/A, Saudi Fourth is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42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the direct holder of the shares and PIF, as sole owner of Savvy, and Savvy as the sole owner of Saudi Fourth, may be deemed to share voting and investment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42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power over the shares of common stock held by Saudi Fourth and therefore may be deemed to beneficially own such shares.</w:t>
      </w:r>
    </w:p>
    <w:p>
      <w:pPr>
        <w:pStyle w:val="TextBody"/>
        <w:bidi w:val="0"/>
        <w:spacing w:lineRule="atLeast" w:line="142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(7)Based on information contained in a report on Schedule 13G filed with the SEC on July 30, 2025.</w:t>
      </w:r>
    </w:p>
    <w:tbl>
      <w:tblPr>
        <w:tblW w:w="4982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4651"/>
        <w:gridCol w:w="331"/>
      </w:tblGrid>
      <w:tr>
        <w:trPr/>
        <w:tc>
          <w:tcPr>
            <w:tcW w:w="46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651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sz w:val="24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TAKE-TWO INTERACTIVE SOFTWARE, INC.   |   2026</w:t>
            </w:r>
            <w:r>
              <w:rPr>
                <w:caps w:val="false"/>
                <w:smallCaps w:val="false"/>
                <w:strike w:val="false"/>
                <w:dstrike w:val="false"/>
                <w:color w:val="18333C"/>
                <w:sz w:val="24"/>
                <w:u w:val="none"/>
                <w:effect w:val="none"/>
              </w:rPr>
              <w:t xml:space="preserve"> 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 xml:space="preserve">Proxy Statement </w:t>
            </w:r>
          </w:p>
        </w:tc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69</w:t>
            </w:r>
          </w:p>
        </w:tc>
      </w:tr>
    </w:tbl>
    <w:p>
      <w:pPr>
        <w:pStyle w:val="TextBody"/>
        <w:bidi w:val="0"/>
        <w:spacing w:lineRule="atLeast" w:line="142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3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3"/>
          <w:u w:val="none"/>
          <w:effect w:val="none"/>
        </w:rPr>
        <w:t>VOTING SECURITY OWNERSHIP OF CERTAIN BENEFICIAL OWNERS AND MANAGEMENT</w:t>
      </w:r>
    </w:p>
    <w:p>
      <w:pPr>
        <w:pStyle w:val="TextBody"/>
        <w:bidi w:val="0"/>
        <w:spacing w:lineRule="atLeast" w:line="142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(8)Mr. Zelnick is a partner at ZMC. The shares listed include 192,314 shares of common stock held by Zelnick/Belzberg Living Trust (such shares are indirectly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42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held by Mr. Zelnick), 64,089 shares of common stock held by the Wendy Jay Belzberg 2012 Family Trust (such shares are indirectly held by Mr. Zelnick), and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42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1,126,165 RSUs held by ZMC (such units are not held individually by Mr. Zelnick). Mr. Zelnick disclaims beneficial ownership of the securities held by each of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42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the Zelnick/Belzberg Living Trust, the Wendy Jay Belzberg 2012 Family Trust, and ZMC except to the extent of his pecuniary interest therein. The 1,126,165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42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RSUs held by ZMC consist of (a) unvested RSUs granted to ZMC on June 3, 2024, settle-able for up to 448,180 shares of common stock that will vest, if at all,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42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on June 1, 2027 with respect to the remaining time-based RSUs included in such grant and on June 1, 2027 with respect to the performance-based RSUs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42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included in such grant, (b) unvested RSUs granted to ZMC on June 2, 2025, settle-able for up to 348,036 shares of common stock that will vest, if at all, in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42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equal installments on June 1, 2027 and June 1, 2028 with respect to the remaining time-based RSUs included in such grant and on June 1, 2028 with respect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42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to the performance-based RSUs included in such grant, and (c) unvested RSUs granted to ZMC on June 1, 2026, settle-able for up to 329,949 shares of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42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common stock that will vest, if at all, in equal installments on June 1, 2027, June 1, 2028 and June 1, 2029 with respect to the time-based RSUs included in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42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such grant and on June 1, 2029 with respect to the performance-based RSUs included in such grant, subject in each case to acceleration or forfeiture under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42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certain circumstances. A portion of each grant is subject to time-based vesting and the other portion is subject to performance-based vesting.</w:t>
      </w:r>
    </w:p>
    <w:p>
      <w:pPr>
        <w:pStyle w:val="TextBody"/>
        <w:bidi w:val="0"/>
        <w:spacing w:lineRule="atLeast" w:line="142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(9)Mr. Slatoff is a partner at ZMC. The shares listed include 1,126,165 RSUs held by ZMC (such units are not held individually by Mr. Slatoff). Mr. Slatoff disclaims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42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beneficial ownership of the securities held by ZMC except to the extent of his pecuniary interest therein. The 1,126,165 RSUs held by ZMC consist of (a)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42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unvested RSUs granted to ZMC on June 3, 2024, settle-able for up to 448,180 shares of common stock that will vest, if at all, on June 1, 2027 with respect to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42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the remaining time-based RSUs included in such grant and on June 1, 2027 with respect to the performance-based RSUs included in such grant, (b) unvested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42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RSUs granted to ZMC on June 2, 2025, settle-able for up to 348,036 shares of common stock that will vest, if at all, in equal installments on June 1, 2027 and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42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June 1, 2028 with respect to the remaining time-based RSUs included in such grant and on June 1, 2028 with respect to the performance-based RSUs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42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included in such grant, and (c) unvested RSUs granted to ZMC on June 1, 2026, settle-able for up to 329,949 shares of common stock that will vest, if at all, in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42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equal installments on June 1, 2027, June 1, 2028 and June 1, 2029 with respect to the time-based RSUs included in such grant and on June 1, 2029 with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42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respect to the performance-based RSUs included in such grant, subject in each case to acceleration or forfeiture under certain circumstances. A portion of each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42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grant is subject to time-based vesting and the other portion is subject to performance-based vesting.</w:t>
      </w:r>
    </w:p>
    <w:p>
      <w:pPr>
        <w:pStyle w:val="TextBody"/>
        <w:bidi w:val="0"/>
        <w:spacing w:lineRule="atLeast" w:line="142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(10)The shares listed include (i) 117,165 shares of common stock held by Ms. Goldstein, (ii) 29,079 unvested time-based RSUs held by Ms. Goldstein, and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42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(iii) 137,130 unvested performance-based RSUs held by Ms. Goldstein. Such unvested awards will vest, or fail to vest, in accordance with the terms of the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42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applicable award agreements.</w:t>
      </w:r>
    </w:p>
    <w:p>
      <w:pPr>
        <w:pStyle w:val="TextBody"/>
        <w:bidi w:val="0"/>
        <w:spacing w:lineRule="atLeast" w:line="142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(11)The shares listed include (i) 1,040 shares of common stock held by Mr. Emerson, (ii) 19,736 unvested time-based RSUs held by Mr. Emerson, and (iii) 93,212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42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unvested performance-based RSUs held by Mr. Emerson. Such unvested awards will vest, or fail to vest, in accordance with the terms of the applicable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42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award agreements.</w:t>
      </w:r>
    </w:p>
    <w:p>
      <w:pPr>
        <w:pStyle w:val="TextBody"/>
        <w:bidi w:val="0"/>
        <w:spacing w:lineRule="atLeast" w:line="142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(12)The shares listed include 75,000 shares of common stock held by The PEV Revocable Living Trust (such securities are indirectly held by Mr. Viera), which were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42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purchased on the open market in August 2018.</w:t>
      </w:r>
    </w:p>
    <w:p>
      <w:pPr>
        <w:pStyle w:val="TextBody"/>
        <w:bidi w:val="0"/>
        <w:spacing w:lineRule="atLeast" w:line="142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(13)The shares listed include (i) 8,571 shares of common stock held by Ms. Siminoff, (ii) 1,833 shares of common stock held by the EFS 2022 Irrevocable Trust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42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(such securities are indirectly held by Ms. Siminoff) and (iii) 1,833 shares of common stock held by the D&amp;E Living trust (such securities are indirectly held by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42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Ms. Siminoff).</w:t>
      </w:r>
    </w:p>
    <w:p>
      <w:pPr>
        <w:pStyle w:val="TextBody"/>
        <w:bidi w:val="0"/>
        <w:spacing w:lineRule="atLeast" w:line="142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(14)The 1,126,165 RSUs held by ZMC that are beneficially owned by Messrs. Zelnick and Slatoff, are only included once.</w:t>
      </w:r>
    </w:p>
    <w:tbl>
      <w:tblPr>
        <w:tblW w:w="493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301"/>
        <w:gridCol w:w="4636"/>
      </w:tblGrid>
      <w:tr>
        <w:trPr/>
        <w:tc>
          <w:tcPr>
            <w:tcW w:w="30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0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70</w:t>
            </w:r>
          </w:p>
        </w:tc>
        <w:tc>
          <w:tcPr>
            <w:tcW w:w="4636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sz w:val="24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TAKE-TWO INTERACTIVE SOFTWARE, INC.   |   2026</w:t>
            </w:r>
            <w:r>
              <w:rPr>
                <w:caps w:val="false"/>
                <w:smallCaps w:val="false"/>
                <w:strike w:val="false"/>
                <w:dstrike w:val="false"/>
                <w:color w:val="18333C"/>
                <w:sz w:val="24"/>
                <w:u w:val="none"/>
                <w:effect w:val="none"/>
              </w:rPr>
              <w:t xml:space="preserve"> 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Proxy Statement</w:t>
            </w:r>
          </w:p>
        </w:tc>
      </w:tr>
    </w:tbl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38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38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38"/>
          <w:u w:val="none"/>
          <w:effect w:val="none"/>
        </w:rPr>
        <w:t xml:space="preserve">CERTAIN RELATIONSHIPS AND </w:t>
      </w:r>
    </w:p>
    <w:p>
      <w:pPr>
        <w:pStyle w:val="TextBody"/>
        <w:bidi w:val="0"/>
        <w:spacing w:lineRule="atLeast" w:line="38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38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38"/>
          <w:u w:val="none"/>
          <w:effect w:val="none"/>
        </w:rPr>
        <w:t>RELATED TRANSACTIONS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8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28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28"/>
          <w:u w:val="none"/>
          <w:effect w:val="none"/>
        </w:rPr>
        <w:t>Management Agreement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The Company and ZMC are parties to the 2022 Management Agreement that became effective on the Effective Date, which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superseded the prior management agreement with ZelnickMedia dated as of November 17, 2017 (the “2017 Management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Agreement”). In fiscal 2026, ZMC provided financial and management consulting services to the Company pursuant to the 2022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Management Agreement. References to the “Management Agreement” in this Proxy Statement refer to both the 2017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Management Agreement and the 2022 Management Agreement interchangeably.</w:t>
      </w:r>
    </w:p>
    <w:p>
      <w:pPr>
        <w:pStyle w:val="TextBody"/>
        <w:bidi w:val="0"/>
        <w:spacing w:lineRule="atLeast" w:line="19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64BFA6"/>
          <w:sz w:val="19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64BFA6"/>
          <w:sz w:val="19"/>
          <w:u w:val="none"/>
          <w:effect w:val="none"/>
        </w:rPr>
        <w:t>Term and Personnel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The 2022 Management Agreement provides for a term that commenced on the Effective Date and continues through March 31,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2029 (the “</w:t>
      </w:r>
      <w:r>
        <w:rPr>
          <w:rFonts w:ascii="Arial;sans-serif" w:hAnsi="Arial;sans-serif"/>
          <w:b w:val="false"/>
          <w:i/>
          <w:sz w:val="18"/>
          <w:u w:val="single"/>
        </w:rPr>
        <w:t>MA Term</w:t>
      </w:r>
      <w:r>
        <w:rPr>
          <w:caps w:val="false"/>
          <w:smallCaps w:val="false"/>
          <w:u w:val="single"/>
        </w:rPr>
        <w:t>”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), unless earlier terminated in accordance with its terms. Under the Management Agreement, ZMC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continues to provide certain individuals as it deems appropriate for the performance of the Management Agreement.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Specifically (i) Mr. Zelnick serves as Executive Chairman of the Board of Directors and CEO of the Company, (ii) Mr. Slatoff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serves as the Company’s President, and (iii) other ZMC personnel as appropriate provide services to the Company on a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project-by-project, as needed basis.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If Mr. Zelnick or any other employee of ZMC acting in an executive capacity for the Company pursuant to the Management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Agreement is unable or unavailable to serve in such capacity (other than due to a termination by the Company without Cause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or their resignation for Good Reason (as such terms are defined in such person’s employment agreement with the Company or,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in the case of Mr. Zelnick, in the Management Agreement)), and ZMC is unable to provide a qualified individual within a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reasonable period of time to serve in such capacity who is reasonably satisfactory to the Board of Directors, then the Company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may fill such position with a person not affiliated with ZMC and deduct the costs of such person’s compensation from ZMC’s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compensation under the Management Agreement (with such deduction limited to no more than 60% of the aggregate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compensation payable to ZMC if such person replaces Mr. Zelnick and no more than 40% of the aggregate compensation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payable to ZMC if such person replaces Mr. Slatoff).</w:t>
      </w:r>
    </w:p>
    <w:p>
      <w:pPr>
        <w:pStyle w:val="TextBody"/>
        <w:bidi w:val="0"/>
        <w:spacing w:lineRule="atLeast" w:line="19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64BFA6"/>
          <w:sz w:val="19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64BFA6"/>
          <w:sz w:val="19"/>
          <w:u w:val="none"/>
          <w:effect w:val="none"/>
        </w:rPr>
        <w:t>Management Fee and Annual Bonus Opportunity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Under the 2022 Management Agreement, the Company pays a monthly management fee equal to $275,000 per month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($3,300,000 annualized). The management fee will not be decreased during the MA Term. In addition to the monthly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management fee, ZMC receives an annual bonus, subject to the achievement by the Company of certain performance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thresholds in respect of each of the fiscal years ending March 31, 2023, 2024, 2025, 2026, 2027, 2028 and 2029. For each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fiscal year (other than for the period from April 1, 2022, to May 23, 2022), the annual bonus opportunity ranges from $0 (at 80%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of the Target, as defined in the 2022 Management Agreement) to $13,200,000 (at 150% of the Target or greater). The annual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bonus opportunity will not be increased or decreased during the MA Term. If the 2022 Management Agreement is terminated by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the Company without Cause (as defined in the 2022 Management Agreement) or by ZMC for Good Reason (as defined in the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2022 Management Agreement) (whether before or after a Change in Control (as defined in the 2022 Management Agreement)),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ZMC is entitled to be paid on the date of termination an amount equal to the sum of (i) the earned but unpaid portion of the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management fee, (ii) any accrued but unpaid annual bonus for a completed fiscal year and (iii) three times the sum of the per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annum management fee plus the Target bonus amount.</w:t>
      </w:r>
    </w:p>
    <w:p>
      <w:pPr>
        <w:pStyle w:val="TextBody"/>
        <w:bidi w:val="0"/>
        <w:spacing w:lineRule="atLeast" w:line="19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64BFA6"/>
          <w:sz w:val="19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64BFA6"/>
          <w:sz w:val="19"/>
          <w:u w:val="none"/>
          <w:effect w:val="none"/>
        </w:rPr>
        <w:t>Expense Reimbursement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ZMC is entitled to the reimbursement of reasonable out-of-pocket expenses in connection with the Management Agreement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and the rendering of services thereunder.</w:t>
      </w:r>
    </w:p>
    <w:tbl>
      <w:tblPr>
        <w:tblW w:w="4982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4651"/>
        <w:gridCol w:w="331"/>
      </w:tblGrid>
      <w:tr>
        <w:trPr/>
        <w:tc>
          <w:tcPr>
            <w:tcW w:w="46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651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sz w:val="24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TAKE-TWO INTERACTIVE SOFTWARE, INC.   |   2026</w:t>
            </w:r>
            <w:r>
              <w:rPr>
                <w:caps w:val="false"/>
                <w:smallCaps w:val="false"/>
                <w:strike w:val="false"/>
                <w:dstrike w:val="false"/>
                <w:color w:val="18333C"/>
                <w:sz w:val="24"/>
                <w:u w:val="none"/>
                <w:effect w:val="none"/>
              </w:rPr>
              <w:t xml:space="preserve"> 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 xml:space="preserve">Proxy Statement </w:t>
            </w:r>
          </w:p>
        </w:tc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71</w:t>
            </w:r>
          </w:p>
        </w:tc>
      </w:tr>
    </w:tbl>
    <w:p>
      <w:pPr>
        <w:pStyle w:val="TextBody"/>
        <w:bidi w:val="0"/>
        <w:spacing w:lineRule="atLeast" w:line="142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3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3"/>
          <w:u w:val="none"/>
          <w:effect w:val="none"/>
        </w:rPr>
        <w:t>CERTAIN RELATIONSHIPS AND RELATED TRANSACTIONS</w:t>
      </w:r>
    </w:p>
    <w:p>
      <w:pPr>
        <w:pStyle w:val="TextBody"/>
        <w:bidi w:val="0"/>
        <w:spacing w:lineRule="atLeast" w:line="142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2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2"/>
          <w:u w:val="none"/>
          <w:effect w:val="none"/>
        </w:rPr>
        <w:t>MANAGEMENT AGREEMENT</w:t>
      </w:r>
    </w:p>
    <w:p>
      <w:pPr>
        <w:pStyle w:val="TextBody"/>
        <w:bidi w:val="0"/>
        <w:spacing w:lineRule="atLeast" w:line="19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64BFA6"/>
          <w:sz w:val="19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64BFA6"/>
          <w:sz w:val="19"/>
          <w:u w:val="none"/>
          <w:effect w:val="none"/>
        </w:rPr>
        <w:t>Limits on Compensation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Under the Management Agreement, no more than 60% of the aggregate compensation payable to ZMC under the Management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Agreement (whether in the form of the management fee, the annual bonus or the RSU awards) shall be received by or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conveyed to Mr. Zelnick (or such other employee of ZMC that serves as Executive Chairman and CEO of the Company) and no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more than 40% of such aggregate compensation shall be received by or conveyed to Mr. Slatoff (or such other employee of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ZMC that serves as the President of the Company).</w:t>
      </w:r>
    </w:p>
    <w:p>
      <w:pPr>
        <w:pStyle w:val="TextBody"/>
        <w:bidi w:val="0"/>
        <w:spacing w:lineRule="atLeast" w:line="19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64BFA6"/>
          <w:sz w:val="19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64BFA6"/>
          <w:sz w:val="19"/>
          <w:u w:val="none"/>
          <w:effect w:val="none"/>
        </w:rPr>
        <w:t>Restrictions on Sale of Vested Stock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Under the 2022 Management Agreement, prior to March 31, 2029 (or earlier in the event of a Change in Control) ZMC and any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Subject Person (as defined in the 2022 Management Agreement) are prohibited from selling or otherwise disposing of any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shares of common stock of the Company, if the Market Value (as defined in the 2022 Management Agreement) of all shares of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common stock of the Company (including restricted stock and RSUs, but excluding any unvested restricted stock or RSUs that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remain subject to performance-based vesting), after giving effect to such proposed sale or other disposition, owned by ZMC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and each Subject Person in the aggregate as of the trading day immediately preceding the date of the proposed sale or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disposition, would be less than six times (6x) the per annum management fee (excluding any bonuses).</w:t>
      </w:r>
    </w:p>
    <w:p>
      <w:pPr>
        <w:pStyle w:val="TextBody"/>
        <w:bidi w:val="0"/>
        <w:spacing w:lineRule="atLeast" w:line="24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24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24"/>
          <w:u w:val="none"/>
          <w:effect w:val="none"/>
        </w:rPr>
        <w:t>Awards under the 2022 Management Agreement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Under the 2022 Management Agreement, as further described below, the Company granted RSUs to ZMC under the 2017 Plan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on June 1, 2022 consisting of transition period two year cliff vest RSUs (the “2022 Transition Period 2 Year Cliff Vest Restricted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Units”), three year transition period cliff vest RSUs (the “2022 Transition Period 3 Year Cliff Vest Restricted Units”), and annual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grant RSUs (the “2022 Annual Grant Restricted Units” and, together with the 2022 Transition Period 2 Year Cliff Vest Restricted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Units and the 2022 Transition Period 3 Year Cliff Vest Restricted Units, the “2022 New Deal Restricted Units”), on June 1, 2023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(the “2023 Restricted Units”), on June 3, 2024 (the “2024 Restricted Units”), on June 2, 2025 (the “2025 Restricted Units”) and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on June 1, 2026 (the “2026 Restricted Units,” and together with the 2022 New Deal Restricted Units, the 2023 Restricted Units,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the 2024 Restricted Units, and the 2025 Restricted Units, the “Restricted Units”). The 2022 Transition Period 2 Year Cliff Vest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Restricted Units, comprised of both time-based and performance-based RSUs as described below, were granted pursuant to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the terms of a Restricted Unit Agreement dated June 1, 2022, by and between the Company and ZMC (the “2022 Transition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Period 2 Year Cliff Vest Restricted Unit Agreement”). The 2022 Transition Period 3 Year Cliff Vest Restricted Units, comprised of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both time-based and performance-based RSUs as described below, were granted pursuant to the terms of a Restricted Unit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Agreement dated June 1, 2022, by and between the Company and ZMC (the “2022 Transition Period 3 Year Cliff Vest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Restricted Unit Agreement”). The 2022 Annual Grant Restricted Units, comprised of both time-based and performance-based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RSUs as described below, were granted pursuant to the terms of a Restricted Unit Agreement dated June 1, 2022, by and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between the Company and ZMC (the “2022 Annual Grant Restricted Unit Agreement” and, together with the 2022 Transition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Period 2 Year Cliff Vest Restricted Unit Agreement and the 2022 Transition Period 3 Year Cliff Vest Restricted Unit Agreement,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the “2022 New Deal Restricted Unit Agreements”). The 2023 Restricted Units, comprised of both time-based and performance-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based RSUs as described below, were granted pursuant to the terms of a Restricted Unit Agreement dated June 1, 2023, by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and between the Company and ZMC (the “2023 Restricted Unit Agreement”). The 2024 Restricted Units, comprised of both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time-based and performance-based RSUs as described below, were granted pursuant to the terms of a Restricted Unit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Agreement dated June 3, 2024, by and between the Company and ZMC (the “2024 Restricted Unit Agreement”). The 2025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Restricted Units, comprised of both time-based and performance-based RSUs as described below, were granted pursuant to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the terms of a Restricted Unit Agreement dated June 2, 2025, by and between the Company and ZMC (the “2025 Restricted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Unit Agreement”). The 2026 Restricted Units, comprised of both time-based and performance-based RSUs as described below,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were granted pursuant to the terms of a Restricted Unit Agreement dated June 1, 2026, by and between the Company and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ZMC (the “2026 Restricted Unit Agreement,” and together with the 2022 New Deal Restricted Unit Agreements, the 2023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Restricted Unit Agreement, the 2024 Restricted Unit Agreement, and the 2025 Restricted Unit Agreement, the “Restricted Unit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Agreements”). As of March 31, 2026, all restricted stock units granted prior to June 1, 2022 have vested and/or have been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forfeited pursuant to their terms. Under the 2022 Management Agreement, the Company, in its discretion, may grant additional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annual equity awards to ZMC over the course of the MA Term.</w:t>
      </w:r>
    </w:p>
    <w:tbl>
      <w:tblPr>
        <w:tblW w:w="493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301"/>
        <w:gridCol w:w="4636"/>
      </w:tblGrid>
      <w:tr>
        <w:trPr/>
        <w:tc>
          <w:tcPr>
            <w:tcW w:w="30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0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72</w:t>
            </w:r>
          </w:p>
        </w:tc>
        <w:tc>
          <w:tcPr>
            <w:tcW w:w="4636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sz w:val="24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TAKE-TWO INTERACTIVE SOFTWARE, INC.   |   2026</w:t>
            </w:r>
            <w:r>
              <w:rPr>
                <w:caps w:val="false"/>
                <w:smallCaps w:val="false"/>
                <w:strike w:val="false"/>
                <w:dstrike w:val="false"/>
                <w:color w:val="18333C"/>
                <w:sz w:val="24"/>
                <w:u w:val="none"/>
                <w:effect w:val="none"/>
              </w:rPr>
              <w:t xml:space="preserve"> 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Proxy Statement</w:t>
            </w:r>
          </w:p>
        </w:tc>
      </w:tr>
    </w:tbl>
    <w:p>
      <w:pPr>
        <w:pStyle w:val="TextBody"/>
        <w:bidi w:val="0"/>
        <w:spacing w:lineRule="atLeast" w:line="142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3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3"/>
          <w:u w:val="none"/>
          <w:effect w:val="none"/>
        </w:rPr>
        <w:t>CERTAIN RELATIONSHIPS AND RELATED TRANSACTIONS</w:t>
      </w:r>
    </w:p>
    <w:p>
      <w:pPr>
        <w:pStyle w:val="TextBody"/>
        <w:bidi w:val="0"/>
        <w:spacing w:lineRule="atLeast" w:line="142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2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2"/>
          <w:u w:val="none"/>
          <w:effect w:val="none"/>
        </w:rPr>
        <w:t>MANAGEMENT AGREEMENT</w:t>
      </w:r>
    </w:p>
    <w:p>
      <w:pPr>
        <w:pStyle w:val="TextBody"/>
        <w:bidi w:val="0"/>
        <w:spacing w:lineRule="atLeast" w:line="19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64BFA6"/>
          <w:sz w:val="19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64BFA6"/>
          <w:sz w:val="19"/>
          <w:u w:val="none"/>
          <w:effect w:val="none"/>
        </w:rPr>
        <w:t>2022 Transition Period 2 Year Cliff Vest Restricted Units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8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8"/>
          <w:u w:val="none"/>
          <w:effect w:val="none"/>
        </w:rPr>
        <w:t>Time-Based Award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On June 1, 2022, the Company issued to ZMC 37,733 time-based RSUs (such number determined by dividing $4,618,519 by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the average of the closing prices of the Company’s common stock for each trading day during the 10 trading day period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immediately prior to June 1, 2022), all of which units vested on May 31, 2024 (the “2022 Transition Period 2 Year Cliff Vest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Time-Based Award”).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8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8"/>
          <w:u w:val="none"/>
          <w:effect w:val="none"/>
        </w:rPr>
        <w:t>Performance-Based Award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On June 1, 2022, the Company issued to ZMC 150,932 performance-based RSUs (the “2022 Transition Period 2 Year Cliff Vest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Performance Award”), representing the maximum number of performance-based RSUs that are eligible to vest (with the target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number of performance-based RSUs of 75,466 based on $9,237,037 divided by the average of the closing prices of the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Company’s common stock for each trading day during the 10 trading day period immediately prior to June 1, 2022). The 2022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Transition Period 2 Year Cliff Vest Performance Award was divided into the following two categories based on the applicable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performance-vesting criteria (as described in the 2022 Transition Period 2 Year Cliff Vest Restricted Unit Agreement): Recurrent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Consumer Spending Performance-Based Units and TSR Performance-Based Units. The results and payout levels for the 2022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Transition Period 2 Year Cliff Vest Performance Award, which vested or failed to vest, on May 31, 2024, are as follows:</w:t>
      </w:r>
    </w:p>
    <w:tbl>
      <w:tblPr>
        <w:tblW w:w="9600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565"/>
        <w:gridCol w:w="2220"/>
        <w:gridCol w:w="2536"/>
        <w:gridCol w:w="2279"/>
      </w:tblGrid>
      <w:tr>
        <w:trPr/>
        <w:tc>
          <w:tcPr>
            <w:tcW w:w="256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22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27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65" w:type="dxa"/>
            <w:tcBorders/>
            <w:shd w:fill="64BFA6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220" w:type="dxa"/>
            <w:tcBorders/>
            <w:shd w:fill="64BFA6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36" w:type="dxa"/>
            <w:tcBorders/>
            <w:shd w:fill="64BFA6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279" w:type="dxa"/>
            <w:tcBorders/>
            <w:shd w:fill="64BFA6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785" w:type="dxa"/>
            <w:gridSpan w:val="2"/>
            <w:tcBorders/>
            <w:shd w:fill="64BFA6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2022 Transition Period 2 Year Cliff Vest Performance Award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Vested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(#)</w:t>
            </w:r>
          </w:p>
        </w:tc>
        <w:tc>
          <w:tcPr>
            <w:tcW w:w="4815" w:type="dxa"/>
            <w:gridSpan w:val="2"/>
            <w:tcBorders/>
            <w:shd w:fill="64BFA6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2022 Transition Period 2 Year Cliff Vest Performance Award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Forfeited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(#)</w:t>
            </w:r>
          </w:p>
        </w:tc>
      </w:tr>
      <w:tr>
        <w:trPr/>
        <w:tc>
          <w:tcPr>
            <w:tcW w:w="2565" w:type="dxa"/>
            <w:tcBorders/>
            <w:shd w:fill="64BFA6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220" w:type="dxa"/>
            <w:tcBorders/>
            <w:shd w:fill="64BFA6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36" w:type="dxa"/>
            <w:tcBorders/>
            <w:shd w:fill="64BFA6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279" w:type="dxa"/>
            <w:tcBorders/>
            <w:shd w:fill="64BFA6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65" w:type="dxa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Based on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Achievement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of Recurrent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Consumer Spending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Performance-Vesting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Criteria</w:t>
            </w:r>
          </w:p>
        </w:tc>
        <w:tc>
          <w:tcPr>
            <w:tcW w:w="2220" w:type="dxa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Based on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Achievement of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TSR Performance-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Vesting Criteria</w:t>
            </w:r>
          </w:p>
        </w:tc>
        <w:tc>
          <w:tcPr>
            <w:tcW w:w="2536" w:type="dxa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Based on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Achievement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of Recurrent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Consumer Spending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Performance-Vesting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Criteria</w:t>
            </w:r>
          </w:p>
        </w:tc>
        <w:tc>
          <w:tcPr>
            <w:tcW w:w="2279" w:type="dxa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Based on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Achievement of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TSR Performance-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Vesting Criteria</w:t>
            </w:r>
          </w:p>
        </w:tc>
      </w:tr>
      <w:tr>
        <w:trPr/>
        <w:tc>
          <w:tcPr>
            <w:tcW w:w="2565" w:type="dxa"/>
            <w:tcBorders>
              <w:top w:val="single" w:sz="4" w:space="0" w:color="18333C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37,732</w:t>
            </w:r>
          </w:p>
        </w:tc>
        <w:tc>
          <w:tcPr>
            <w:tcW w:w="2220" w:type="dxa"/>
            <w:tcBorders>
              <w:top w:val="single" w:sz="4" w:space="0" w:color="18333C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45,280</w:t>
            </w:r>
          </w:p>
        </w:tc>
        <w:tc>
          <w:tcPr>
            <w:tcW w:w="2536" w:type="dxa"/>
            <w:tcBorders>
              <w:top w:val="single" w:sz="4" w:space="0" w:color="18333C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2279" w:type="dxa"/>
            <w:tcBorders>
              <w:top w:val="single" w:sz="4" w:space="0" w:color="18333C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67,920</w:t>
            </w:r>
          </w:p>
        </w:tc>
      </w:tr>
    </w:tbl>
    <w:p>
      <w:pPr>
        <w:pStyle w:val="TextBody"/>
        <w:bidi w:val="0"/>
        <w:spacing w:lineRule="atLeast" w:line="19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64BFA6"/>
          <w:sz w:val="19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64BFA6"/>
          <w:sz w:val="19"/>
          <w:u w:val="none"/>
          <w:effect w:val="none"/>
        </w:rPr>
        <w:t>2022 Transition Period 3 Year Cliff Vest Restricted Units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8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8"/>
          <w:u w:val="none"/>
          <w:effect w:val="none"/>
        </w:rPr>
        <w:t>Time-Based Award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On June 1, 2022, the Company issued to ZMC 41,303 time-based RSUs (such number determined by dividing $5,055,556 by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the average of the closing prices of the Company’s common stock for each trading day during the 10 trading day period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immediately prior to June 1, 2022), all of which units vested on May 30, 2025 (the “2022 Transition Period 3 Year Cliff Vest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Time-Based Award”).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8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8"/>
          <w:u w:val="none"/>
          <w:effect w:val="none"/>
        </w:rPr>
        <w:t>Performance-Based Award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On June 1, 2022, the Company issued to ZMC 165,214 performance-based RSUs (the “2022 Transition Period 3 Year Cliff Vest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Performance Award”), representing the maximum number of performance-based RSUs that are eligible to vest (with the target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number of performance-based RSUs of 82,607 based on $10,111,111 divided by the average of the closing prices of the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Company’s common stock for each trading day during the 10 trading day period immediately prior to June 1, 2022). The 2022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Transition Period 3 Year Cliff Vest Performance Award was divided into the following two categories based on the applicable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performance-vesting criteria (as described in the 2022 Transition Period 3 Year Cliff Vest Restricted Unit Agreement): Recurrent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Consumer Spending Performance-Based Units and TSR Performance-Based Units. The results and payout levels for the 2022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Transition Period 3 Year Cliff Vest Performance Award, which vested or failed to vest, on May 30, 2025, are as follows:</w:t>
      </w:r>
    </w:p>
    <w:tbl>
      <w:tblPr>
        <w:tblW w:w="4982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4651"/>
        <w:gridCol w:w="331"/>
      </w:tblGrid>
      <w:tr>
        <w:trPr/>
        <w:tc>
          <w:tcPr>
            <w:tcW w:w="46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651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sz w:val="24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TAKE-TWO INTERACTIVE SOFTWARE, INC.   |   2026</w:t>
            </w:r>
            <w:r>
              <w:rPr>
                <w:caps w:val="false"/>
                <w:smallCaps w:val="false"/>
                <w:strike w:val="false"/>
                <w:dstrike w:val="false"/>
                <w:color w:val="18333C"/>
                <w:sz w:val="24"/>
                <w:u w:val="none"/>
                <w:effect w:val="none"/>
              </w:rPr>
              <w:t xml:space="preserve"> 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 xml:space="preserve">Proxy Statement </w:t>
            </w:r>
          </w:p>
        </w:tc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73</w:t>
            </w:r>
          </w:p>
        </w:tc>
      </w:tr>
    </w:tbl>
    <w:p>
      <w:pPr>
        <w:pStyle w:val="TextBody"/>
        <w:bidi w:val="0"/>
        <w:spacing w:lineRule="atLeast" w:line="142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3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3"/>
          <w:u w:val="none"/>
          <w:effect w:val="none"/>
        </w:rPr>
        <w:t>CERTAIN RELATIONSHIPS AND RELATED TRANSACTIONS</w:t>
      </w:r>
    </w:p>
    <w:p>
      <w:pPr>
        <w:pStyle w:val="TextBody"/>
        <w:bidi w:val="0"/>
        <w:spacing w:lineRule="atLeast" w:line="142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2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2"/>
          <w:u w:val="none"/>
          <w:effect w:val="none"/>
        </w:rPr>
        <w:t>MANAGEMENT AGREEMENT</w:t>
      </w:r>
    </w:p>
    <w:tbl>
      <w:tblPr>
        <w:tblW w:w="9600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565"/>
        <w:gridCol w:w="2220"/>
        <w:gridCol w:w="2514"/>
        <w:gridCol w:w="2301"/>
      </w:tblGrid>
      <w:tr>
        <w:trPr/>
        <w:tc>
          <w:tcPr>
            <w:tcW w:w="256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22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1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30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65" w:type="dxa"/>
            <w:tcBorders/>
            <w:shd w:fill="64BFA6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220" w:type="dxa"/>
            <w:tcBorders/>
            <w:shd w:fill="64BFA6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14" w:type="dxa"/>
            <w:tcBorders/>
            <w:shd w:fill="64BFA6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301" w:type="dxa"/>
            <w:tcBorders/>
            <w:shd w:fill="64BFA6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785" w:type="dxa"/>
            <w:gridSpan w:val="2"/>
            <w:tcBorders/>
            <w:shd w:fill="64BFA6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2022 Transition Period 3 Year Cliff Vest Performance Award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Vested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(#)</w:t>
            </w:r>
          </w:p>
        </w:tc>
        <w:tc>
          <w:tcPr>
            <w:tcW w:w="4815" w:type="dxa"/>
            <w:gridSpan w:val="2"/>
            <w:tcBorders/>
            <w:shd w:fill="64BFA6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2022 Transition Period 3 Year Cliff Vest Performance Award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Forfeited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(#)</w:t>
            </w:r>
          </w:p>
        </w:tc>
      </w:tr>
      <w:tr>
        <w:trPr/>
        <w:tc>
          <w:tcPr>
            <w:tcW w:w="2565" w:type="dxa"/>
            <w:tcBorders/>
            <w:shd w:fill="64BFA6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220" w:type="dxa"/>
            <w:tcBorders/>
            <w:shd w:fill="64BFA6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14" w:type="dxa"/>
            <w:tcBorders/>
            <w:shd w:fill="64BFA6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301" w:type="dxa"/>
            <w:tcBorders/>
            <w:shd w:fill="64BFA6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565" w:type="dxa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Based on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Achievement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of Recurrent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Consumer Spending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Performance-Vesting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Criteria</w:t>
            </w:r>
          </w:p>
        </w:tc>
        <w:tc>
          <w:tcPr>
            <w:tcW w:w="2220" w:type="dxa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Based on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Achievement of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TSR Performance-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Vesting Criteria</w:t>
            </w:r>
          </w:p>
        </w:tc>
        <w:tc>
          <w:tcPr>
            <w:tcW w:w="2514" w:type="dxa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Based on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Achievement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of Recurrent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Consumer Spending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Performance-Vesting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Criteria (1)</w:t>
            </w:r>
          </w:p>
        </w:tc>
        <w:tc>
          <w:tcPr>
            <w:tcW w:w="2301" w:type="dxa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Based on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Achievement of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TSR Performance-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Vesting Criteria (2)</w:t>
            </w:r>
          </w:p>
        </w:tc>
      </w:tr>
      <w:tr>
        <w:trPr/>
        <w:tc>
          <w:tcPr>
            <w:tcW w:w="2565" w:type="dxa"/>
            <w:tcBorders>
              <w:top w:val="single" w:sz="4" w:space="0" w:color="18333C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41,304</w:t>
            </w:r>
          </w:p>
        </w:tc>
        <w:tc>
          <w:tcPr>
            <w:tcW w:w="2220" w:type="dxa"/>
            <w:tcBorders>
              <w:top w:val="single" w:sz="4" w:space="0" w:color="18333C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123,910</w:t>
            </w:r>
          </w:p>
        </w:tc>
        <w:tc>
          <w:tcPr>
            <w:tcW w:w="2514" w:type="dxa"/>
            <w:tcBorders>
              <w:top w:val="single" w:sz="4" w:space="0" w:color="18333C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2301" w:type="dxa"/>
            <w:tcBorders>
              <w:top w:val="single" w:sz="4" w:space="0" w:color="18333C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</w:tr>
    </w:tbl>
    <w:p>
      <w:pPr>
        <w:pStyle w:val="TextBody"/>
        <w:bidi w:val="0"/>
        <w:spacing w:lineRule="atLeast" w:line="142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(1)The Company’s RCS achievement for this award that vested in fiscal 2026 was in excess of the maximum goal, which resulted in the maximum vesting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42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percentage for the RSUs (i.e., 200% of target) based on achievement of RCS performance-vesting criteria, and no shares being forfeited.</w:t>
      </w:r>
    </w:p>
    <w:p>
      <w:pPr>
        <w:pStyle w:val="TextBody"/>
        <w:bidi w:val="0"/>
        <w:spacing w:lineRule="atLeast" w:line="142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(2)The Company’s relative TSR achievement for this award that vested in fiscal 2026 was the 78th percentile, which resulted in the maximum vesting percentage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42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for the RSUs (i.e. 200% of target) based on achievement of TSR performance-vesting criteria, and no shares being forfeited.</w:t>
      </w:r>
    </w:p>
    <w:p>
      <w:pPr>
        <w:pStyle w:val="TextBody"/>
        <w:bidi w:val="0"/>
        <w:spacing w:lineRule="atLeast" w:line="19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64BFA6"/>
          <w:sz w:val="19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64BFA6"/>
          <w:sz w:val="19"/>
          <w:u w:val="none"/>
          <w:effect w:val="none"/>
        </w:rPr>
        <w:t>2022 Annual Grant Restricted Units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8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8"/>
          <w:u w:val="none"/>
          <w:effect w:val="none"/>
        </w:rPr>
        <w:t>Time-Based Award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On June 1, 2022, the Company issued to ZMC 56,100 time-based RSUs (such number determined by dividing $6,866,667 by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the average of the closing prices of the Company’s common stock for each trading day during the 10 trading day period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immediately prior to June 1, 2022), all of which units have vested as of May 30, 2025, (the “2022 Annual Grant Time-Based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Award” and, together with the 2022 Transition Period 2 Year Cliff Vest Time-Based Award and 2022 Transition Period 3 Year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Cliff Vest Time-Based Award, the “2022 New Deal Time-Based Awards”).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8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8"/>
          <w:u w:val="none"/>
          <w:effect w:val="none"/>
        </w:rPr>
        <w:t>Performance-Based Award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On June 1, 2022, the Company issued to ZMC 224,402 performance-based RSUs (the “2022 Annual Grant Performance Award”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and, together with the 2022 Transition Period 2 Year Cliff Vest Performance Award and the 2022 Transition Period 3 Year Cliff Vest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Performance Award, the “2022 New Deal Performance Awards”), representing the maximum number of performance-based RSUs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that are eligible to vest (with the target number of performance-based RSUs of 112,201 based on $13,733,333 divided by the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average of the closing prices of the Company’s common stock for each trading day during the 10 trading day period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immediately prior to June 1, 2022). The 2022 Annual Grant Performance Award was divided into the following two categories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based on the applicable performance-vesting criteria (as described in the 2022 Annual Grant Restricted Unit Agreement):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Recurrent Consumer Spending Performance-Based Units and TSR Performance-Based Units. The results and payout levels for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the 2022 Annual Grant Performance Award, which vested or failed to vest, on May 30, 2025, are as follows:</w:t>
      </w:r>
    </w:p>
    <w:tbl>
      <w:tblPr>
        <w:tblW w:w="7770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026"/>
        <w:gridCol w:w="1754"/>
        <w:gridCol w:w="2083"/>
        <w:gridCol w:w="1907"/>
      </w:tblGrid>
      <w:tr>
        <w:trPr/>
        <w:tc>
          <w:tcPr>
            <w:tcW w:w="20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8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90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26" w:type="dxa"/>
            <w:tcBorders/>
            <w:shd w:fill="64BFA6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54" w:type="dxa"/>
            <w:tcBorders/>
            <w:shd w:fill="64BFA6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83" w:type="dxa"/>
            <w:tcBorders/>
            <w:shd w:fill="64BFA6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907" w:type="dxa"/>
            <w:tcBorders/>
            <w:shd w:fill="64BFA6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780" w:type="dxa"/>
            <w:gridSpan w:val="2"/>
            <w:tcBorders/>
            <w:shd w:fill="64BFA6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2022 Annual Grant Performance Award Vested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(#)</w:t>
            </w:r>
          </w:p>
        </w:tc>
        <w:tc>
          <w:tcPr>
            <w:tcW w:w="3990" w:type="dxa"/>
            <w:gridSpan w:val="2"/>
            <w:tcBorders/>
            <w:shd w:fill="64BFA6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2022 Annual Grant Performance Award Forfeited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(#)</w:t>
            </w:r>
          </w:p>
        </w:tc>
      </w:tr>
      <w:tr>
        <w:trPr/>
        <w:tc>
          <w:tcPr>
            <w:tcW w:w="2026" w:type="dxa"/>
            <w:tcBorders/>
            <w:shd w:fill="64BFA6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54" w:type="dxa"/>
            <w:tcBorders/>
            <w:shd w:fill="64BFA6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83" w:type="dxa"/>
            <w:tcBorders/>
            <w:shd w:fill="64BFA6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907" w:type="dxa"/>
            <w:tcBorders/>
            <w:shd w:fill="64BFA6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26" w:type="dxa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Based on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Achievement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of Recurrent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Consumer Spending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Performance-Vesting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Criteria</w:t>
            </w:r>
          </w:p>
        </w:tc>
        <w:tc>
          <w:tcPr>
            <w:tcW w:w="1754" w:type="dxa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Based on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Achievement of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TSR Performance-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Vesting Criteria</w:t>
            </w:r>
          </w:p>
        </w:tc>
        <w:tc>
          <w:tcPr>
            <w:tcW w:w="2083" w:type="dxa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Based on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Achievement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of Recurrent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Consumer Spending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Performance-Vesting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Criteria (1)</w:t>
            </w:r>
          </w:p>
        </w:tc>
        <w:tc>
          <w:tcPr>
            <w:tcW w:w="1907" w:type="dxa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Based on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Achievement of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TSR Performance-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Vesting Criteria (2)</w:t>
            </w:r>
          </w:p>
        </w:tc>
      </w:tr>
      <w:tr>
        <w:trPr/>
        <w:tc>
          <w:tcPr>
            <w:tcW w:w="2026" w:type="dxa"/>
            <w:tcBorders>
              <w:top w:val="single" w:sz="4" w:space="0" w:color="18333C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56,100</w:t>
            </w:r>
          </w:p>
        </w:tc>
        <w:tc>
          <w:tcPr>
            <w:tcW w:w="1754" w:type="dxa"/>
            <w:tcBorders>
              <w:top w:val="single" w:sz="4" w:space="0" w:color="18333C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168,302</w:t>
            </w:r>
          </w:p>
        </w:tc>
        <w:tc>
          <w:tcPr>
            <w:tcW w:w="2083" w:type="dxa"/>
            <w:tcBorders>
              <w:top w:val="single" w:sz="4" w:space="0" w:color="18333C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907" w:type="dxa"/>
            <w:tcBorders>
              <w:top w:val="single" w:sz="4" w:space="0" w:color="18333C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</w:tr>
    </w:tbl>
    <w:p>
      <w:pPr>
        <w:pStyle w:val="TextBody"/>
        <w:bidi w:val="0"/>
        <w:spacing w:lineRule="atLeast" w:line="142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(1)The Company’s RCS achievement for this award that vested in fiscal 2026 was in excess of the maximum goal, which resulted in the maximum vesting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42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percentage for the RSUs (i.e., 200% of target) based on achievement of RCS performance-vesting criteria, and no shares being forfeited.</w:t>
      </w:r>
    </w:p>
    <w:p>
      <w:pPr>
        <w:pStyle w:val="TextBody"/>
        <w:bidi w:val="0"/>
        <w:spacing w:lineRule="atLeast" w:line="142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(2)The Company’s relative TSR achievement for this award that vested in fiscal 2026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was the 78th percentile, which resulted in the maximum vesting percentage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42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for the RSUs (i.e. 200% of target)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based on achievement of TSR performance-vesting criteria, and no shares being forfeited.</w:t>
      </w:r>
    </w:p>
    <w:p>
      <w:pPr>
        <w:pStyle w:val="TextBody"/>
        <w:bidi w:val="0"/>
        <w:spacing w:lineRule="atLeast" w:line="19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64BFA6"/>
          <w:sz w:val="19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64BFA6"/>
          <w:sz w:val="19"/>
          <w:u w:val="none"/>
          <w:effect w:val="none"/>
        </w:rPr>
        <w:t>2023 Restricted Units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8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8"/>
          <w:u w:val="none"/>
          <w:effect w:val="none"/>
        </w:rPr>
        <w:t>Time-Based Award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On June 1, 2023, the Company issued to ZMC 96,734 time-based RSUs (such number determined by dividing $12,409,320 by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the average of the closing prices of the Company’s common stock for each trading day during the 30 trading day period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immediately prior to June 1, 2023), all of which units vested as of June 1, 2026 (the “2023 Time-Based Award”).</w:t>
      </w:r>
    </w:p>
    <w:tbl>
      <w:tblPr>
        <w:tblW w:w="493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301"/>
        <w:gridCol w:w="4636"/>
      </w:tblGrid>
      <w:tr>
        <w:trPr/>
        <w:tc>
          <w:tcPr>
            <w:tcW w:w="30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0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74</w:t>
            </w:r>
          </w:p>
        </w:tc>
        <w:tc>
          <w:tcPr>
            <w:tcW w:w="4636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sz w:val="24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TAKE-TWO INTERACTIVE SOFTWARE, INC.   |   2026</w:t>
            </w:r>
            <w:r>
              <w:rPr>
                <w:caps w:val="false"/>
                <w:smallCaps w:val="false"/>
                <w:strike w:val="false"/>
                <w:dstrike w:val="false"/>
                <w:color w:val="18333C"/>
                <w:sz w:val="24"/>
                <w:u w:val="none"/>
                <w:effect w:val="none"/>
              </w:rPr>
              <w:t xml:space="preserve"> 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Proxy Statement</w:t>
            </w:r>
          </w:p>
        </w:tc>
      </w:tr>
    </w:tbl>
    <w:p>
      <w:pPr>
        <w:pStyle w:val="TextBody"/>
        <w:bidi w:val="0"/>
        <w:spacing w:lineRule="atLeast" w:line="142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3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3"/>
          <w:u w:val="none"/>
          <w:effect w:val="none"/>
        </w:rPr>
        <w:t>CERTAIN RELATIONSHIPS AND RELATED TRANSACTIONS</w:t>
      </w:r>
    </w:p>
    <w:p>
      <w:pPr>
        <w:pStyle w:val="TextBody"/>
        <w:bidi w:val="0"/>
        <w:spacing w:lineRule="atLeast" w:line="142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2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2"/>
          <w:u w:val="none"/>
          <w:effect w:val="none"/>
        </w:rPr>
        <w:t>MANAGEMENT AGREEMENT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8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8"/>
          <w:u w:val="none"/>
          <w:effect w:val="none"/>
        </w:rPr>
        <w:t>Performance-Based Award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On June 1, 2023, the Company issued to ZMC 392,800 performance-based RSUs (the “2023 Performance Award”),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representing the maximum number of performance-based RSUs that are eligible to vest (with the target number of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performance-based RSUs of 196,400 based on $25,194,680 divided by the average of the closing prices of the Company’s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common stock for each trading day during the 30 trading day period immediately prior to June 1, 2023). The 2023 Performance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Award was divided into the following two categories based on the applicable performance-vesting criteria (as described in the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2023 Restricted Unit Agreement): Recurrent Consumer Spending Performance-Based Units and TSR Performance-Based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Units. The results and payout levels for the 2023 Performance Award, which vested or failed to vest, on June 1, 2026, are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as follows:</w:t>
      </w:r>
    </w:p>
    <w:tbl>
      <w:tblPr>
        <w:tblW w:w="6694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786"/>
        <w:gridCol w:w="1546"/>
        <w:gridCol w:w="1771"/>
        <w:gridCol w:w="1591"/>
      </w:tblGrid>
      <w:tr>
        <w:trPr/>
        <w:tc>
          <w:tcPr>
            <w:tcW w:w="178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786" w:type="dxa"/>
            <w:tcBorders/>
            <w:shd w:fill="64BFA6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6" w:type="dxa"/>
            <w:tcBorders/>
            <w:shd w:fill="64BFA6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71" w:type="dxa"/>
            <w:tcBorders/>
            <w:shd w:fill="64BFA6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91" w:type="dxa"/>
            <w:tcBorders/>
            <w:shd w:fill="64BFA6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332" w:type="dxa"/>
            <w:gridSpan w:val="2"/>
            <w:tcBorders/>
            <w:shd w:fill="64BFA6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2023 Performance Award Vested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(#)</w:t>
            </w:r>
          </w:p>
        </w:tc>
        <w:tc>
          <w:tcPr>
            <w:tcW w:w="3362" w:type="dxa"/>
            <w:gridSpan w:val="2"/>
            <w:tcBorders/>
            <w:shd w:fill="64BFA6" w:val="clear"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2023 Performance Award Forfeited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FFFFFF"/>
                <w:sz w:val="16"/>
                <w:u w:val="none"/>
                <w:effect w:val="none"/>
              </w:rPr>
              <w:t>(#)</w:t>
            </w:r>
          </w:p>
        </w:tc>
      </w:tr>
      <w:tr>
        <w:trPr/>
        <w:tc>
          <w:tcPr>
            <w:tcW w:w="1786" w:type="dxa"/>
            <w:tcBorders/>
            <w:shd w:fill="64BFA6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6" w:type="dxa"/>
            <w:tcBorders/>
            <w:shd w:fill="64BFA6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71" w:type="dxa"/>
            <w:tcBorders/>
            <w:shd w:fill="64BFA6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91" w:type="dxa"/>
            <w:tcBorders/>
            <w:shd w:fill="64BFA6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786" w:type="dxa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Based on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Achievement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of Recurrent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Consumer Spending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Performance-Vesting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Criteria</w:t>
            </w:r>
          </w:p>
        </w:tc>
        <w:tc>
          <w:tcPr>
            <w:tcW w:w="1546" w:type="dxa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Based on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Achievement of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TSR Performance-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Vesting Criteria</w:t>
            </w:r>
          </w:p>
        </w:tc>
        <w:tc>
          <w:tcPr>
            <w:tcW w:w="1771" w:type="dxa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Based on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Achievement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of Recurrent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Consumer Spending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Performance-Vesting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Criteria</w:t>
            </w:r>
          </w:p>
        </w:tc>
        <w:tc>
          <w:tcPr>
            <w:tcW w:w="1591" w:type="dxa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Based on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Achievement of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TSR Performance-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Vesting Criteria</w:t>
            </w:r>
          </w:p>
        </w:tc>
      </w:tr>
      <w:tr>
        <w:trPr/>
        <w:tc>
          <w:tcPr>
            <w:tcW w:w="1786" w:type="dxa"/>
            <w:tcBorders>
              <w:top w:val="single" w:sz="4" w:space="0" w:color="18333C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98,200</w:t>
            </w:r>
          </w:p>
        </w:tc>
        <w:tc>
          <w:tcPr>
            <w:tcW w:w="1546" w:type="dxa"/>
            <w:tcBorders>
              <w:top w:val="single" w:sz="4" w:space="0" w:color="18333C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229,788</w:t>
            </w:r>
          </w:p>
        </w:tc>
        <w:tc>
          <w:tcPr>
            <w:tcW w:w="1771" w:type="dxa"/>
            <w:tcBorders>
              <w:top w:val="single" w:sz="4" w:space="0" w:color="18333C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000000"/>
                <w:u w:val="none"/>
                <w:effect w:val="none"/>
              </w:rPr>
              <w:t>—</w:t>
            </w:r>
          </w:p>
        </w:tc>
        <w:tc>
          <w:tcPr>
            <w:tcW w:w="1591" w:type="dxa"/>
            <w:tcBorders>
              <w:top w:val="single" w:sz="4" w:space="0" w:color="18333C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64,812</w:t>
            </w:r>
          </w:p>
        </w:tc>
      </w:tr>
    </w:tbl>
    <w:p>
      <w:pPr>
        <w:pStyle w:val="TextBody"/>
        <w:bidi w:val="0"/>
        <w:spacing w:lineRule="atLeast" w:line="19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64BFA6"/>
          <w:sz w:val="19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64BFA6"/>
          <w:sz w:val="19"/>
          <w:u w:val="none"/>
          <w:effect w:val="none"/>
        </w:rPr>
        <w:t>2024 Restricted Units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8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8"/>
          <w:u w:val="none"/>
          <w:effect w:val="none"/>
        </w:rPr>
        <w:t>Time-Based Award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On June 3, 2024, the Company issued to ZMC 101,999 time-based RSUs (such number determined by dividing $15,073,410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by the average of the closing prices of the Company’s common stock for each trading day during the 30 trading day period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immediately prior to June 3, 2024), 33,999 of which units vested on May 30, 2025, 34,000 of which units vested on June 1,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2025, and the remainder will vest on June 1, 2027, provided that the 2022 Management Agreement has not been terminated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prior to such dates (the “2024 Time-Based Award”).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8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8"/>
          <w:u w:val="none"/>
          <w:effect w:val="none"/>
        </w:rPr>
        <w:t>Performance-Based Award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On June 3, 2024, the Company issued to ZMC 414,180 performance-based RSUs (the “2024 Performance Award”),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representing the maximum number of performance-based RSUs that are eligible to vest (with the target number of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performance-based RSUs of 207,090 based on $30,603,590 divided by the average of the closing prices of the Company’s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common stock for each trading day during the 30 trading day period immediately prior to June 3, 2024), which units have been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divided into two categories of vesting as follows: (i) on June 1, 2027, a number of Recurrent Consumer Spending Performance-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Based Units (as defined in the 2024 Restricted Unit Agreement) will vest equal to the product of (x) the target number of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Recurrent Consumer Spending Performance-Based Units in such vesting tranche (51,773) multiplied by (y) the Recurrent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Consumer Spending Vesting Percentage (as defined in the 2024 Restricted Unit Agreement) on March 31, 2027, which ranges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from 0% to 200%, and (ii) on June 1, 2027, a number of TSR Performance-Based Units (as defined in the 2024 Restricted Unit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Agreement) will vest equal to the product of (x) the target number of TSR Performance-Based Units in such vesting tranche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(155,317) multiplied by (y) the TSR Vesting Percentage (as defined in the 2024 Restricted Unit Agreement) on March 31, 2027,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which ranges from 0% to 200%.</w:t>
      </w:r>
    </w:p>
    <w:p>
      <w:pPr>
        <w:pStyle w:val="TextBody"/>
        <w:bidi w:val="0"/>
        <w:spacing w:lineRule="atLeast" w:line="19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64BFA6"/>
          <w:sz w:val="19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64BFA6"/>
          <w:sz w:val="19"/>
          <w:u w:val="none"/>
          <w:effect w:val="none"/>
        </w:rPr>
        <w:t>2025 Restricted Units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8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8"/>
          <w:u w:val="none"/>
          <w:effect w:val="none"/>
        </w:rPr>
        <w:t>Time-Based Award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On June 2, 2025, the Company issued to ZMC 73,623 time-based RSUs (such number determined by dividing $16,604,940 by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the average of the closing prices of the Company’s common stock for each trading day during the 30 trading day period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immediately prior to June 2, 2025), 24,541 of which units vested on June 1, 2026, and the remainder will vest in equal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installments on June 1, 2027 and June 1, 2028, provided that the 2022 Management Agreement has not been terminated prior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to such dates (the “2025 Time-Based Award”).</w:t>
      </w:r>
    </w:p>
    <w:tbl>
      <w:tblPr>
        <w:tblW w:w="4982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4651"/>
        <w:gridCol w:w="331"/>
      </w:tblGrid>
      <w:tr>
        <w:trPr/>
        <w:tc>
          <w:tcPr>
            <w:tcW w:w="46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651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sz w:val="24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TAKE-TWO INTERACTIVE SOFTWARE, INC.   |   2026</w:t>
            </w:r>
            <w:r>
              <w:rPr>
                <w:caps w:val="false"/>
                <w:smallCaps w:val="false"/>
                <w:strike w:val="false"/>
                <w:dstrike w:val="false"/>
                <w:color w:val="18333C"/>
                <w:sz w:val="24"/>
                <w:u w:val="none"/>
                <w:effect w:val="none"/>
              </w:rPr>
              <w:t xml:space="preserve"> 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 xml:space="preserve">Proxy Statement </w:t>
            </w:r>
          </w:p>
        </w:tc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75</w:t>
            </w:r>
          </w:p>
        </w:tc>
      </w:tr>
    </w:tbl>
    <w:p>
      <w:pPr>
        <w:pStyle w:val="TextBody"/>
        <w:bidi w:val="0"/>
        <w:spacing w:lineRule="atLeast" w:line="142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3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3"/>
          <w:u w:val="none"/>
          <w:effect w:val="none"/>
        </w:rPr>
        <w:t>CERTAIN RELATIONSHIPS AND RELATED TRANSACTIONS</w:t>
      </w:r>
    </w:p>
    <w:p>
      <w:pPr>
        <w:pStyle w:val="TextBody"/>
        <w:bidi w:val="0"/>
        <w:spacing w:lineRule="atLeast" w:line="142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2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2"/>
          <w:u w:val="none"/>
          <w:effect w:val="none"/>
        </w:rPr>
        <w:t>MANAGEMENT AGREEMENT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8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8"/>
          <w:u w:val="none"/>
          <w:effect w:val="none"/>
        </w:rPr>
        <w:t>Performance-Based Award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On June 2, 2025, the Company issued to ZMC 298,954 performance-based RSUs (the “2025 Performance Award”),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representing the maximum number of performance-based RSUs that are eligible to vest (with the target number of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performance-based RSUs of 149,477 based on $33,713,060 divided by the average of the closing prices of the Company’s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common stock for each trading day during the 30 trading day period immediately prior to June 2, 2025), which units have been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divided into two categories of vesting as follows: (i) on June 1, 2028, a number of Recurrent Consumer Spending Performance-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Based Units (as defined in the 2025 Restricted Unit Agreement) will vest equal to the product of (x) the target number of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Recurrent Consumer Spending Performance-Based Units in such vesting tranche (37,369) multiplied by (y) the Recurrent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Consumer Spending Vesting Percentage (as defined in the 2025 Restricted Unit Agreement) on March 31, 2028, which ranges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from 0% to 200%, and (ii) on June 1, 2028, a number of TSR Performance-Based Units (as defined in the 2025 Restricted Unit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Agreement) will vest equal to the product of (x) the target number of TSR Performance-Based Units in such vesting tranche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(112,108) multiplied by (y) the TSR Vesting Percentage (as defined in the 2025 Restricted Unit Agreement) on March 31, 2028,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which ranges from 0% to 200%.</w:t>
      </w:r>
    </w:p>
    <w:p>
      <w:pPr>
        <w:pStyle w:val="TextBody"/>
        <w:bidi w:val="0"/>
        <w:spacing w:lineRule="atLeast" w:line="19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64BFA6"/>
          <w:sz w:val="19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64BFA6"/>
          <w:sz w:val="19"/>
          <w:u w:val="none"/>
          <w:effect w:val="none"/>
        </w:rPr>
        <w:t>2026 Restricted Units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8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8"/>
          <w:u w:val="none"/>
          <w:effect w:val="none"/>
        </w:rPr>
        <w:t>Time-Based Award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On June 1, 2026, the Company issued to ZMC 65,199 time-based RSUs (such number determined by dividing $14,549,370 by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the average of the closing prices of the Company’s common stock for each trading day during the 30 trading day period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immediately prior to June 1, 2026), which units will vest in equal installments on June 1, 2027, June 1, 2028 and June 1, 2029,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provided that the 2022 Management Agreement has not been terminated prior to such dates (the “2026 Time-Based Award,”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and together with the 2022 New Deal Time-Based Awards, the 2023 Time-Based Award, the 2024 Time-Based Award and the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2025 Time-Based Award, the “Time-Based Awards”).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8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8"/>
          <w:u w:val="none"/>
          <w:effect w:val="none"/>
        </w:rPr>
        <w:t>Performance-Based Award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On June 1, 2026, the Company issued to ZMC 264,750 performance-based RSUs (the “2026 Performance Award,” and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together with the 2022 New Deal Performance Awards, the 2023 Performance Award, the 2024 Performance Award and the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2025 Performance Award, the “Performance Awards”), representing the maximum number of performance-based RSUs that are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eligible to vest (with the target number of performance-based RSUs of 132,375 based on $29,539,630 divided by the average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of the closing prices of the Company’s common stock for each trading day during the 30 trading day period immediately prior to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June 1, 2026), which units have been divided into two categories of vesting as follows: (i) on June 1, 2029, a number of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Recurrent Consumer Spending Performance-Based Units (as defined in the 2026 Restricted Unit Agreement) will vest equal to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the product of (x) the target number of Recurrent Consumer Spending Performance-Based Units in such vesting tranche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(33,094) multiplied by (y) the Recurrent Consumer Spending Vesting Percentage (as defined in the 2026 Restricted Unit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Agreement) on March 31, 2029, which ranges from 0% to 200%, and (ii) on June 1, 2029, a number of TSR Performance-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Based Units (as defined in the 2026 Restricted Unit Agreement) will vest equal to the product of (x) the target number of TSR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Performance-Based Units in such vesting tranche (99,281) multiplied by (y) the TSR Vesting Percentage (as defined in the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2026 Restricted Unit Agreement) on March 31, 2029, which ranges from 0% to 200%.</w:t>
      </w:r>
    </w:p>
    <w:p>
      <w:pPr>
        <w:pStyle w:val="TextBody"/>
        <w:bidi w:val="0"/>
        <w:spacing w:lineRule="atLeast" w:line="19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64BFA6"/>
          <w:sz w:val="19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64BFA6"/>
          <w:sz w:val="19"/>
          <w:u w:val="none"/>
          <w:effect w:val="none"/>
        </w:rPr>
        <w:t>Treatment of Awards on Termination or Change in Control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Upon a termination of the 2022 Management Agreement by the Company without Cause or by ZMC for Good Reason, or if the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Company and ZMC fail to enter into a new management agreement on substantially similar terms in the aggregate as those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provided under the 2022 Management Agreement upon the expiration of the MA Term, or otherwise fail to agree to extend the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MA Term, any then-unvested Time-Based Awards will immediately vest in full, and any then-unvested Performance Awards will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vest either (x) based on the assumption that the applicable performance measure was achieved at the target level of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performance for the applicable performance period, or (y) prior to a Change in Control (as defined in the 2022 Management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Agreement), solely for TSR Performance-Based Units (as defined in the applicable Restricted Unit Agreement), based on the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actual level of performance achieved as of the date of termination.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In the event that any portion of a Performance Award will not have vested as of the applicable performance vesting date, or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upon a termination of the 2022 Management Agreement by the Company for Cause or by ZMC without Good Reason, ZMC will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forfeit to the Company any and all Restricted Units that have not vested as of such date. In addition, ZMC will forfeit to the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Company all then-unvested Time-Based Awards if the 2022 Management Agreement is terminated by the Company for Cause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or by ZMC without Good Reason prior to the applicable time vesting date.</w:t>
      </w:r>
    </w:p>
    <w:tbl>
      <w:tblPr>
        <w:tblW w:w="493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301"/>
        <w:gridCol w:w="4636"/>
      </w:tblGrid>
      <w:tr>
        <w:trPr/>
        <w:tc>
          <w:tcPr>
            <w:tcW w:w="30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0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76</w:t>
            </w:r>
          </w:p>
        </w:tc>
        <w:tc>
          <w:tcPr>
            <w:tcW w:w="4636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sz w:val="24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TAKE-TWO INTERACTIVE SOFTWARE, INC.   |   2026</w:t>
            </w:r>
            <w:r>
              <w:rPr>
                <w:caps w:val="false"/>
                <w:smallCaps w:val="false"/>
                <w:strike w:val="false"/>
                <w:dstrike w:val="false"/>
                <w:color w:val="18333C"/>
                <w:sz w:val="24"/>
                <w:u w:val="none"/>
                <w:effect w:val="none"/>
              </w:rPr>
              <w:t xml:space="preserve"> 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Proxy Statement</w:t>
            </w:r>
          </w:p>
        </w:tc>
      </w:tr>
    </w:tbl>
    <w:p>
      <w:pPr>
        <w:pStyle w:val="TextBody"/>
        <w:bidi w:val="0"/>
        <w:spacing w:lineRule="atLeast" w:line="142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3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3"/>
          <w:u w:val="none"/>
          <w:effect w:val="none"/>
        </w:rPr>
        <w:t>CERTAIN RELATIONSHIPS AND RELATED TRANSACTIONS</w:t>
      </w:r>
    </w:p>
    <w:p>
      <w:pPr>
        <w:pStyle w:val="TextBody"/>
        <w:bidi w:val="0"/>
        <w:spacing w:lineRule="atLeast" w:line="142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2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2"/>
          <w:u w:val="none"/>
          <w:effect w:val="none"/>
        </w:rPr>
        <w:t>POLICY ON TRANSACTIONS WITH RELATED PERSONS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If a Change in Control occurs during the MA Term, the 2022 Management Agreement will not automatically terminate and all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unvested RSUs granted pursuant to the applicable Restricted Unit Agreement will remain subject to the same vesting terms set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forth in the applicable Restricted Unit Agreement, except that Performance Awards will vest based on the assumption that the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applicable performance measure was achieved at the target level of performance for the applicable performance period.</w:t>
      </w:r>
    </w:p>
    <w:p>
      <w:pPr>
        <w:pStyle w:val="TextBody"/>
        <w:bidi w:val="0"/>
        <w:spacing w:lineRule="atLeast" w:line="19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64BFA6"/>
          <w:sz w:val="19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64BFA6"/>
          <w:sz w:val="19"/>
          <w:u w:val="none"/>
          <w:effect w:val="none"/>
        </w:rPr>
        <w:t>Settlement of Restricted Units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Pursuant to the Management Agreement, the Company will have the right to elect to settle the RSUs granted to ZMC pursuant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to the Management Agreement in shares of the Company’s common stock that will be issued pursuant to the 2017 Plan.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8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8"/>
          <w:u w:val="none"/>
          <w:effect w:val="none"/>
        </w:rPr>
        <w:t>Registration Statement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Pursuant to the Management Agreement, within 45 days following the request of ZMC, the Company will file a Registration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Statement on Form S-3 registering for resale any of the shares of the Company’s common stock issuable pursuant to awards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granted to ZMC under the Restricted Unit Agreements. The Company most recently filed a registration statement on Form S-3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on June 1, 2026, covering such shares.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The foregoing descriptions of the Management Agreement and the Restricted Unit Agreements (including the Time-Based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Awards and the Performance Awards issuable to ZMC thereunder) are only a summary and are qualified in their entirety by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reference to the full text of the 2017 Management Agreement (and the Restricted Unit Agreement attached as Exhibit A thereto),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which is attached as Exhibit 10.1 to the Company’s Current Report on Form 8-K dated November 22, 2017 and incorporated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herein by reference, the 2022 Management Agreement, which is attached as Exhibit 10.1 to the Company’s Current Report on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Form 8-K dated May 5, 2022 and incorporated herein by reference, the 2022 New Deal Restricted Unit Agreements, which are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attached as Exhibits 10.3, 10.4 and 10.5 to the Company’s Quarterly Report on Form 10-Q dated August 9, 2022 and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incorporated herein by reference, the 2023 Restricted Unit Agreement, which is attached as Exhibit 10.2 to the Company’s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Registration Statement on Form S-3 dated June 1, 2023 and incorporated herein by reference, the 2024 Restricted Unit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Agreement, which is attached as Exhibit 10.2 to the Company’s Registration Statement on Form S-3 dated June 3, 2024 and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incorporated herein by reference, the 2025 Restricted Unit Agreement, which is attached as Exhibit 10.2 to the Company’s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Registration Statement on Form S-3 dated June 2, 2025 and incorporated herein by reference, and the 2026 Restricted Unit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Agreement, which is attached as Exhibit 10.2 to the Company’s Registration Statement on Form S-3 dated June 1, 2026 and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incorporated herein by reference.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8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28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28"/>
          <w:u w:val="none"/>
          <w:effect w:val="none"/>
        </w:rPr>
        <w:t>Policy on Transactions with Related Persons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The Board of Directors has adopted a policy requiring that any transaction: (1) involving the Company or any of its subsidiaries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and (2) in which one of our directors, nominees for director, executive officers, or greater than five percent shareholders, or their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immediate family members, have a direct or indirect material interest; be approved or ratified by a majority of the independent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directors of the full Board of Directors.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In determining whether to approve or ratify any such transaction, the independent directors of the Board of Directors must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consider, in addition to other factors deemed appropriate, whether the transaction is on terms no less favorable to the Company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than those for transactions involving unrelated parties. No director may participate in any review, approval or ratification of any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transaction if the director, or an immediate family member of such director, has a direct or indirect material interest in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the transaction.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28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28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28"/>
          <w:u w:val="none"/>
          <w:effect w:val="none"/>
        </w:rPr>
        <w:t>Transactions with Related Persons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 xml:space="preserve">During fiscal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2026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, we were not a participant in any financial transaction, arrangement or relationship in which a related person</w:t>
      </w:r>
      <w:r>
        <w:rPr>
          <w:caps w:val="false"/>
          <w:smallCaps w:val="false"/>
          <w:sz w:val="24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had or will have a direct or indirect material interest, in an amount exceeding $120,000, except for the transactions described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above with ZMC, which the independent directors of the Board of Directors had previously reviewed, approved and ratified in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accordance with its policy on transactions with related persons.</w:t>
      </w:r>
    </w:p>
    <w:tbl>
      <w:tblPr>
        <w:tblW w:w="4982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4651"/>
        <w:gridCol w:w="331"/>
      </w:tblGrid>
      <w:tr>
        <w:trPr/>
        <w:tc>
          <w:tcPr>
            <w:tcW w:w="46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651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sz w:val="24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TAKE-TWO INTERACTIVE SOFTWARE, INC.   |   2026</w:t>
            </w:r>
            <w:r>
              <w:rPr>
                <w:caps w:val="false"/>
                <w:smallCaps w:val="false"/>
                <w:strike w:val="false"/>
                <w:dstrike w:val="false"/>
                <w:color w:val="18333C"/>
                <w:sz w:val="24"/>
                <w:u w:val="none"/>
                <w:effect w:val="none"/>
              </w:rPr>
              <w:t xml:space="preserve"> 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 xml:space="preserve">Proxy Statement </w:t>
            </w:r>
          </w:p>
        </w:tc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77</w:t>
            </w:r>
          </w:p>
        </w:tc>
      </w:tr>
    </w:tbl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38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38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38"/>
          <w:u w:val="none"/>
          <w:effect w:val="none"/>
        </w:rPr>
        <w:t xml:space="preserve">SECTION 16(A) BENEFICIAL </w:t>
      </w:r>
    </w:p>
    <w:p>
      <w:pPr>
        <w:pStyle w:val="TextBody"/>
        <w:bidi w:val="0"/>
        <w:spacing w:lineRule="atLeast" w:line="38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38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38"/>
          <w:u w:val="none"/>
          <w:effect w:val="none"/>
        </w:rPr>
        <w:t>OWNERSHIP COMPLIANCE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The members of our Board of Directors, our executive officers and persons who beneficially own more than 10% of our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outstanding common stock are subject to the reporting requirements of Section 16(a) of the Securities Exchange Act of 1934,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as amended, which requires them to file reports with respect to their ownership of our common stock and their transactions in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such common stock. Based solely upon a review of the copies of Section 16(a) reports that we have received from such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 xml:space="preserve">persons or entities for transactions in our common stock and their common stock holdings for fiscal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2026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, we believe that all</w:t>
      </w:r>
      <w:r>
        <w:rPr>
          <w:caps w:val="false"/>
          <w:smallCaps w:val="false"/>
          <w:sz w:val="24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reporting requirements under Section 16(a) for such fiscal year were met in a timely manner by our directors, executive officers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and persons who beneficially own more than 10% of our outstanding common stock.</w:t>
      </w:r>
    </w:p>
    <w:tbl>
      <w:tblPr>
        <w:tblW w:w="493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301"/>
        <w:gridCol w:w="4636"/>
      </w:tblGrid>
      <w:tr>
        <w:trPr/>
        <w:tc>
          <w:tcPr>
            <w:tcW w:w="30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0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78</w:t>
            </w:r>
          </w:p>
        </w:tc>
        <w:tc>
          <w:tcPr>
            <w:tcW w:w="4636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sz w:val="24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TAKE-TWO INTERACTIVE SOFTWARE, INC.   |   2026</w:t>
            </w:r>
            <w:r>
              <w:rPr>
                <w:caps w:val="false"/>
                <w:smallCaps w:val="false"/>
                <w:strike w:val="false"/>
                <w:dstrike w:val="false"/>
                <w:color w:val="18333C"/>
                <w:sz w:val="24"/>
                <w:u w:val="none"/>
                <w:effect w:val="none"/>
              </w:rPr>
              <w:t xml:space="preserve"> 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Proxy Statement</w:t>
            </w:r>
          </w:p>
        </w:tc>
      </w:tr>
    </w:tbl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38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38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38"/>
          <w:u w:val="none"/>
          <w:effect w:val="none"/>
        </w:rPr>
        <w:t xml:space="preserve">PROPOSAL 3: VOTE TO APPROVE A CERTIFICATE OF </w:t>
      </w:r>
    </w:p>
    <w:p>
      <w:pPr>
        <w:pStyle w:val="TextBody"/>
        <w:bidi w:val="0"/>
        <w:spacing w:lineRule="atLeast" w:line="38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38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38"/>
          <w:u w:val="none"/>
          <w:effect w:val="none"/>
        </w:rPr>
        <w:t xml:space="preserve">AMENDMENT TO THE RESTATED CERTIFICATE OF </w:t>
      </w:r>
    </w:p>
    <w:p>
      <w:pPr>
        <w:pStyle w:val="TextBody"/>
        <w:bidi w:val="0"/>
        <w:spacing w:lineRule="atLeast" w:line="38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38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38"/>
          <w:u w:val="none"/>
          <w:effect w:val="none"/>
        </w:rPr>
        <w:t xml:space="preserve">INCORPORATION OF THE COMPANY TO LIMIT THE </w:t>
      </w:r>
    </w:p>
    <w:p>
      <w:pPr>
        <w:pStyle w:val="TextBody"/>
        <w:bidi w:val="0"/>
        <w:spacing w:lineRule="atLeast" w:line="38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38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38"/>
          <w:u w:val="none"/>
          <w:effect w:val="none"/>
        </w:rPr>
        <w:t xml:space="preserve">LIABILITY OF CERTAIN OFFICERS AS PERMITTED BY </w:t>
      </w:r>
    </w:p>
    <w:p>
      <w:pPr>
        <w:pStyle w:val="TextBody"/>
        <w:bidi w:val="0"/>
        <w:spacing w:lineRule="atLeast" w:line="38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38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38"/>
          <w:u w:val="none"/>
          <w:effect w:val="none"/>
        </w:rPr>
        <w:t>DELAWARE LAW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/>
          <w:i w:val="false"/>
          <w:caps w:val="false"/>
          <w:smallCaps w:val="false"/>
          <w:sz w:val="18"/>
          <w:u w:val="single"/>
        </w:rPr>
      </w:pPr>
      <w:r>
        <w:rPr>
          <w:rFonts w:ascii="Arial;sans-serif" w:hAnsi="Arial;sans-serif"/>
          <w:b/>
          <w:i w:val="false"/>
          <w:caps w:val="false"/>
          <w:smallCaps w:val="false"/>
          <w:sz w:val="18"/>
          <w:u w:val="single"/>
        </w:rPr>
        <w:t>BACKGROUND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Effective August 1, 2022, Section 102(b)(7) of the Delaware General Corporation Law (“</w:t>
      </w:r>
      <w:r>
        <w:rPr>
          <w:rFonts w:ascii="Arial;sans-serif" w:hAnsi="Arial;sans-serif"/>
          <w:b/>
          <w:i/>
          <w:sz w:val="18"/>
          <w:u w:val="single"/>
        </w:rPr>
        <w:t>DGCL</w:t>
      </w:r>
      <w:r>
        <w:rPr>
          <w:caps w:val="false"/>
          <w:smallCaps w:val="false"/>
          <w:u w:val="single"/>
        </w:rPr>
        <w:t>”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) was amended (“Amended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102(b)(7)”) to enable a corporation to include in its certificate of incorporation a provision exculpating certain corporate officers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from liability for breach of the fiduciary duty of care in certain circumstances. Previously, Section 102(b)(7) of the DGCL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 xml:space="preserve">provided for exculpation for directors only. Under Amended 102(b)(7), the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officers</w:t>
      </w:r>
      <w:r>
        <w:rPr>
          <w:caps w:val="false"/>
          <w:smallCaps w:val="false"/>
          <w:u w:val="singl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who may be exculpated include a person who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(i) is the president, chief executive officer, chief operating officer, chief financial officer, chief legal officer, controller, treasurer or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chief accounting officer of the corporation at any time during the course of conduct alleged in the action or proceeding to be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wrongful, (ii) is or was identified in the corporation's public filings with the SEC because such person is or was one of the most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highly compensated executive officers of the corporation at any time during the course of conduct alleged in the action or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proceeding to be wrongful, or (iii) has consented to be identified as an officer for purposes of accepting service of process in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Delaware by written agreement (the “</w:t>
      </w:r>
      <w:r>
        <w:rPr>
          <w:rFonts w:ascii="Arial;sans-serif" w:hAnsi="Arial;sans-serif"/>
          <w:b/>
          <w:i/>
          <w:sz w:val="18"/>
          <w:u w:val="single"/>
        </w:rPr>
        <w:t>Covered Officers</w:t>
      </w:r>
      <w:r>
        <w:rPr>
          <w:caps w:val="false"/>
          <w:smallCaps w:val="false"/>
          <w:u w:val="single"/>
        </w:rPr>
        <w:t>”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).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Following due consideration of the amendments to the DGCL and the desire to remain competitive in the market for top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corporate officers, on July 15, 2026, the Corporate Governance Committee recommended the Board of Directors adopt an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amendment to the Take-Two Restated Certificate of Incorporation (the “</w:t>
      </w:r>
      <w:r>
        <w:rPr>
          <w:rFonts w:ascii="Arial;sans-serif" w:hAnsi="Arial;sans-serif"/>
          <w:b/>
          <w:i/>
          <w:strike w:val="false"/>
          <w:dstrike w:val="false"/>
          <w:sz w:val="18"/>
          <w:u w:val="none"/>
          <w:effect w:val="none"/>
        </w:rPr>
        <w:t>Officer Exculpation Amendment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>”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). On July 16, 2026,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pursuant to the recommendation of the Corporate Governance Committee, the Board of Directors approved the Officer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Exculpation Amendment, subject to shareholder approval. The Board of Directors has determined that the Officer Exculpation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Amendment is advisable and in the best interests of the Company and our shareholders, and unanimously recommends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shareholders approve the Officer Exculpation Amendment for the reasons set forth below.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/>
          <w:i w:val="false"/>
          <w:caps w:val="false"/>
          <w:smallCaps w:val="false"/>
          <w:sz w:val="18"/>
          <w:u w:val="single"/>
        </w:rPr>
      </w:pPr>
      <w:r>
        <w:rPr>
          <w:rFonts w:ascii="Arial;sans-serif" w:hAnsi="Arial;sans-serif"/>
          <w:b/>
          <w:i w:val="false"/>
          <w:caps w:val="false"/>
          <w:smallCaps w:val="false"/>
          <w:sz w:val="18"/>
          <w:u w:val="single"/>
        </w:rPr>
        <w:t>SUMMARY OF CHANGES IN THE OFFICER EXCULPATION AMENDMENT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The proposed Officer Exculpation Amendment would allow for the exculpation of our officers to the fullest extent permitted by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the DGCL, as it currently exists or as it may hereafter be amended. This means that the proposed Officer Exculpation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Amendment would allow for the exculpation of Covered Officers only in connection with direct claims brought by shareholders,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including class actions, but would not eliminate officers’ monetary liability for breach of fiduciary duty claims brought by the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Company itself or for derivative claims brought by shareholders in the name of the Company. Further, the Officer Exculpation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Amendment would not limit the liability of officers for any breach of the duty of loyalty to the Company or its shareholders, any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acts or omissions not in good faith or which involve intentional misconduct or a knowing violation of the law, or any transaction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from which the officer derived an improper personal benefit.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Additionally, consistent with the language for exculpation of directors currently included in Article VI of the Restated Certificate,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the proposed Officer Exculpation Amendment provides that if at any time after it becomes effective, the DGCL is amended to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authorize any further elimination or limitation of the personal liability of a corporation’s officers (including any change in the roles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deemed to be Covered Officers for purposes of Section 102(b)(7) of the DGCL), then such liability shall automatically be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eliminated or limited to the fullest extent permitted by the DGCL, as so amended, with respect to the Company’s officers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(including with respect to any new role newly deemed to be a Covered Officer for purposes of Section 102(b)(7)).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The foregoing description is a summary and is qualified in its entirety by the full text of the proposed Officer Exculpation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Amendment included in Annex B attached to this Proxy Statement and the pertinent provisions of the DGCL.</w:t>
      </w:r>
    </w:p>
    <w:tbl>
      <w:tblPr>
        <w:tblW w:w="4982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4651"/>
        <w:gridCol w:w="331"/>
      </w:tblGrid>
      <w:tr>
        <w:trPr/>
        <w:tc>
          <w:tcPr>
            <w:tcW w:w="46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651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sz w:val="24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TAKE-TWO INTERACTIVE SOFTWARE, INC.   |   2026</w:t>
            </w:r>
            <w:r>
              <w:rPr>
                <w:caps w:val="false"/>
                <w:smallCaps w:val="false"/>
                <w:strike w:val="false"/>
                <w:dstrike w:val="false"/>
                <w:color w:val="18333C"/>
                <w:sz w:val="24"/>
                <w:u w:val="none"/>
                <w:effect w:val="none"/>
              </w:rPr>
              <w:t xml:space="preserve"> 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 xml:space="preserve">Proxy Statement </w:t>
            </w:r>
          </w:p>
        </w:tc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79</w:t>
            </w:r>
          </w:p>
        </w:tc>
      </w:tr>
    </w:tbl>
    <w:p>
      <w:pPr>
        <w:pStyle w:val="TextBody"/>
        <w:bidi w:val="0"/>
        <w:spacing w:lineRule="atLeast" w:line="142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3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3"/>
          <w:u w:val="none"/>
          <w:effect w:val="none"/>
        </w:rPr>
        <w:t xml:space="preserve">PROPOSAL 3: VOTE TO APPROVE A CERTIFICATE OF AMENDMENT TO THE RESTATED CERTIFICATE OF INCORPORATION OF THE COMPANY TO LIMIT THE </w:t>
      </w:r>
    </w:p>
    <w:p>
      <w:pPr>
        <w:pStyle w:val="TextBody"/>
        <w:bidi w:val="0"/>
        <w:spacing w:lineRule="atLeast" w:line="142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3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3"/>
          <w:u w:val="none"/>
          <w:effect w:val="none"/>
        </w:rPr>
        <w:t>LIABILITY OF CERTAIN OFFICERS AS PERMITTED BY DELAWARE LAW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/>
          <w:i w:val="false"/>
          <w:caps w:val="false"/>
          <w:smallCaps w:val="false"/>
          <w:sz w:val="18"/>
          <w:u w:val="single"/>
        </w:rPr>
      </w:pPr>
      <w:r>
        <w:rPr>
          <w:rFonts w:ascii="Arial;sans-serif" w:hAnsi="Arial;sans-serif"/>
          <w:b/>
          <w:i w:val="false"/>
          <w:caps w:val="false"/>
          <w:smallCaps w:val="false"/>
          <w:sz w:val="18"/>
          <w:u w:val="single"/>
        </w:rPr>
        <w:t>RECOMMENDATION OF THE BOARD OF DIRECTORS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In approving the Officer Exculpation Amendment and recommending it for approval by our shareholders, our Board of Directors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considered the narrow class and type of claims to which it applies, the limited number of officers that are covered by it, and the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benefits our Board of Directors believes would accrue to the Company from providing officer exculpation.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When considering the recommendation of the Board of Directors that our shareholders approve this proposal, our shareholders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should be aware that the Covered Officers of the Company have interests in the proposal that may be different from, or in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addition to, the interests of our shareholders more generally because they will receive the liability exculpation protections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afforded by the proposed Officer Exculpation Amendment if it is adopted. The Board was aware of these interests and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considered them, among other matters, in reaching its decision to approve the Officer Exculpation Amendment. The Officer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Exculpation Amendment is not being proposed in response to any specific resignation, threat of resignation or refusal to serve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by any officer.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Our Board of Directors believes that adopting the Officer Exculpation Amendment is in the best interests of the Company and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its shareholders. Since the amendments to the DGCL took effect, an increasing number of companies with whom we compete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for executive talent have adopted similar exculpation provisions, and we expect this trend to continue. Failing to adopt officer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exculpatory protections could negatively impact our ability to compete with these companies in recruiting and retaining qualified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officer candidates as these candidates might be deterred from serving as officers of the Company due to concerns with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potential exposure to personal liability. By nature of the role, officers often must make decisions on crucial matters, more often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than not, in response to time-sensitive opportunities and challenges, which can create substantial risk of investigations, claims,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actions, suits, or proceedings seeking to impose individual liability based on hindsight. This risk has become particularly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pronounced in the current litigious environment where there has been a trend of plaintiffs naming officers as defendants in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shareholder litigation. As a result, candidates may consider whether the potential exposure to personal liability or other risks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outweigh the benefits of serving as an officer. Accordingly, adopting the Officer Exculpation Amendment could potentially reduce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litigation costs associated with frivolous lawsuits while also better positioning the Company to attract and retain top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officer candidates.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For these reasons, our Board of Directors determined that it is advisable and in the best interests of the Company and our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shareholders to amend Article VI of our Restated Certificate to add the liability protection afforded by Amended 102(b)(7) for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Covered Officers.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If our shareholders approve the Officer Exculpation Amendment, our Board of Directors has authorized our officers to file a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Certificate of Amendment to the Take-Two Restated Certificate of Incorporation with the Delaware Secretary of State, which we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anticipate doing as soon as practicable following shareholder approval of the Officer Exculpation Amendment at the Annual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Meeting, and the Officer Exculpation Amendment would become effective upon acceptance by the Delaware Secretary of State.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If our shareholders do not approve the Officer Exculpation Amendment, the Company’s current exculpation provisions relating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to directors will remain in place, and the Certificate of Amendment will not be filed with the Delaware Secretary of State.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/>
          <w:i w:val="false"/>
          <w:caps w:val="false"/>
          <w:smallCaps w:val="false"/>
          <w:sz w:val="18"/>
          <w:u w:val="single"/>
        </w:rPr>
      </w:pPr>
      <w:r>
        <w:rPr>
          <w:rFonts w:ascii="Arial;sans-serif" w:hAnsi="Arial;sans-serif"/>
          <w:b/>
          <w:i w:val="false"/>
          <w:caps w:val="false"/>
          <w:smallCaps w:val="false"/>
          <w:sz w:val="18"/>
          <w:u w:val="single"/>
        </w:rPr>
        <w:t>VOTE REQUIRED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For this Proposal 3, a “FOR” vote from the majority of outstanding shares entitled to vote on the proposal will be required for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approval. Voting “ABSTAIN” or broker non-votes on this Proposal 3 will have the same effect as voting “AGAINST.”</w:t>
      </w:r>
    </w:p>
    <w:tbl>
      <w:tblPr>
        <w:tblW w:w="934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346"/>
        <w:gridCol w:w="9001"/>
      </w:tblGrid>
      <w:tr>
        <w:trPr/>
        <w:tc>
          <w:tcPr>
            <w:tcW w:w="3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0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6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</w:rPr>
            </w:pPr>
            <w:r>
              <w:rPr>
                <w:caps w:val="false"/>
                <w:smallCaps w:val="fals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55575" cy="159385"/>
                  <wp:effectExtent l="0" t="0" r="0" b="0"/>
                  <wp:docPr id="292" name="Image29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2" name="Image29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5575" cy="1593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297" w:name="i-292"/>
            <w:bookmarkEnd w:id="297"/>
          </w:p>
        </w:tc>
        <w:tc>
          <w:tcPr>
            <w:tcW w:w="900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 xml:space="preserve">THE BOARD OF DIRECTORS UNANIMOUSLY RECOMMENDS A VOTE </w:t>
            </w:r>
            <w:r>
              <w:rPr>
                <w:caps w:val="false"/>
                <w:smallCaps w:val="false"/>
                <w:strike w:val="false"/>
                <w:dstrike w:val="false"/>
                <w:color w:val="64BFA6"/>
                <w:u w:val="none"/>
                <w:effect w:val="none"/>
              </w:rPr>
              <w:t>“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64BFA6"/>
                <w:sz w:val="18"/>
                <w:u w:val="none"/>
                <w:effect w:val="none"/>
              </w:rPr>
              <w:t>FOR”</w:t>
            </w: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 xml:space="preserve"> 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THE APPROVAL OF A</w:t>
            </w: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8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CERTIFICATE OF AMENDMENT TO THE RESTATED CERTIFICATE OF INCORPORATION OF TAKE-TWO</w:t>
            </w: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8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INTERACTIVE SOFTWARE, INC. TO LIMIT THE LIABILITY OF CERTAIN OFFICERS AS PERMITTED BY</w:t>
            </w: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80" w:before="0" w:after="0"/>
              <w:jc w:val="both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DELAWARE LAW.</w:t>
            </w:r>
          </w:p>
        </w:tc>
      </w:tr>
    </w:tbl>
    <w:tbl>
      <w:tblPr>
        <w:tblW w:w="493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301"/>
        <w:gridCol w:w="4636"/>
      </w:tblGrid>
      <w:tr>
        <w:trPr/>
        <w:tc>
          <w:tcPr>
            <w:tcW w:w="30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0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80</w:t>
            </w:r>
          </w:p>
        </w:tc>
        <w:tc>
          <w:tcPr>
            <w:tcW w:w="4636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sz w:val="24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TAKE-TWO INTERACTIVE SOFTWARE, INC.   |   2026</w:t>
            </w:r>
            <w:r>
              <w:rPr>
                <w:caps w:val="false"/>
                <w:smallCaps w:val="false"/>
                <w:strike w:val="false"/>
                <w:dstrike w:val="false"/>
                <w:color w:val="18333C"/>
                <w:sz w:val="24"/>
                <w:u w:val="none"/>
                <w:effect w:val="none"/>
              </w:rPr>
              <w:t xml:space="preserve"> 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Proxy Statement</w:t>
            </w:r>
          </w:p>
        </w:tc>
      </w:tr>
    </w:tbl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38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38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38"/>
          <w:u w:val="none"/>
          <w:effect w:val="none"/>
        </w:rPr>
        <w:t xml:space="preserve">PROPOSAL 4: RATIFICATION OF APPOINTMENT </w:t>
      </w:r>
    </w:p>
    <w:p>
      <w:pPr>
        <w:pStyle w:val="TextBody"/>
        <w:bidi w:val="0"/>
        <w:spacing w:lineRule="atLeast" w:line="38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38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38"/>
          <w:u w:val="none"/>
          <w:effect w:val="none"/>
        </w:rPr>
        <w:t xml:space="preserve">OF INDEPENDENT REGISTERED PUBLIC </w:t>
      </w:r>
    </w:p>
    <w:p>
      <w:pPr>
        <w:pStyle w:val="TextBody"/>
        <w:bidi w:val="0"/>
        <w:spacing w:lineRule="atLeast" w:line="38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38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38"/>
          <w:u w:val="none"/>
          <w:effect w:val="none"/>
        </w:rPr>
        <w:t>ACCOUNTING FIRM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The Audit Committee of the Board of Directors has appointed Ernst &amp; Young LLP (“Ernst &amp; Young”) as the Company’s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independent registered public accounting firm to audit its consolidated financial statements for its fiscal year ending March 31,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2027. Although action by the shareholders on this matter is not required, the Audit Committee believes it is appropriate to seek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shareholder ratification of the appointment of the independent registered public accounting firm to provide a forum for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shareholders to express their views with regard to the Audit Committee’s appointment. If the shareholders do not ratify the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appointment of Ernst &amp; Young, the selection of independent registered public accounting firms may be reconsidered by the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Audit Committee; provided, however, that the Audit Committee retains the right to continue to engage Ernst &amp; Young. In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addition, notwithstanding the ratification of Ernst &amp; Young as the Company’s independent registered public accounting firm for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the fiscal year ending March 31, 2027, the Audit Committee retains the right to replace Ernst &amp; Young at any time without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shareholder approval.</w:t>
      </w:r>
    </w:p>
    <w:tbl>
      <w:tblPr>
        <w:tblW w:w="9662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346"/>
        <w:gridCol w:w="9316"/>
      </w:tblGrid>
      <w:tr>
        <w:trPr/>
        <w:tc>
          <w:tcPr>
            <w:tcW w:w="3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1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6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>
                <w:caps w:val="false"/>
                <w:smallCaps w:val="false"/>
              </w:rPr>
            </w:pPr>
            <w:r>
              <w:rPr>
                <w:caps w:val="false"/>
                <w:smallCaps w:val="false"/>
              </w:rPr>
              <w:t> </w:t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drawing>
                <wp:inline distT="0" distB="0" distL="0" distR="0">
                  <wp:extent cx="155575" cy="159385"/>
                  <wp:effectExtent l="0" t="0" r="0" b="0"/>
                  <wp:docPr id="293" name="Image293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3" name="Image293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5575" cy="1593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298" w:name="i-293"/>
            <w:bookmarkEnd w:id="298"/>
          </w:p>
        </w:tc>
        <w:tc>
          <w:tcPr>
            <w:tcW w:w="931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THE BOARD OF DIRECTORS BELIEVES THAT RATIFICATION OF THE APPOINTMENT OF ERNST &amp; YOUNG</w:t>
            </w: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8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LLP IS IN THE BEST INTERESTS OF THE COMPANY AND UNANIMOUSLY RECOMMENDS THAT</w:t>
            </w: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80" w:before="0" w:after="0"/>
              <w:jc w:val="both"/>
              <w:rPr>
                <w:u w:val="singl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SHAREHOLDERS VOTE </w:t>
            </w:r>
            <w:r>
              <w:rPr>
                <w:caps w:val="false"/>
                <w:smallCaps w:val="false"/>
                <w:strike w:val="false"/>
                <w:dstrike w:val="false"/>
                <w:color w:val="64BFA6"/>
                <w:u w:val="none"/>
                <w:effect w:val="none"/>
              </w:rPr>
              <w:t>“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64BFA6"/>
                <w:sz w:val="18"/>
                <w:u w:val="none"/>
                <w:effect w:val="none"/>
              </w:rPr>
              <w:t>FOR”</w:t>
            </w: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> 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SUCH RATIFICATION.</w:t>
            </w:r>
          </w:p>
        </w:tc>
      </w:tr>
    </w:tbl>
    <w:tbl>
      <w:tblPr>
        <w:tblW w:w="4982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4651"/>
        <w:gridCol w:w="331"/>
      </w:tblGrid>
      <w:tr>
        <w:trPr/>
        <w:tc>
          <w:tcPr>
            <w:tcW w:w="46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651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sz w:val="24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TAKE-TWO INTERACTIVE SOFTWARE, INC.   |   2026</w:t>
            </w:r>
            <w:r>
              <w:rPr>
                <w:caps w:val="false"/>
                <w:smallCaps w:val="false"/>
                <w:strike w:val="false"/>
                <w:dstrike w:val="false"/>
                <w:color w:val="18333C"/>
                <w:sz w:val="24"/>
                <w:u w:val="none"/>
                <w:effect w:val="none"/>
              </w:rPr>
              <w:t xml:space="preserve"> 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 xml:space="preserve">Proxy Statement </w:t>
            </w:r>
          </w:p>
        </w:tc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81</w:t>
            </w:r>
          </w:p>
        </w:tc>
      </w:tr>
    </w:tbl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38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38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38"/>
          <w:u w:val="none"/>
          <w:effect w:val="none"/>
        </w:rPr>
        <w:t>INDEPENDENT REGISTERED PUBLIC ACCOUNTANTS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Ernst &amp; Young has been the Company’s independent registered public accounting firm and has audited the Company’s financial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statements since April 2006. In selecting the Company’s independent registered public accounting firm, the Audit Committee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assesses the firm’s qualifications and performance; the quality and candor of their communications with the Audit Committee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and the Company; independence; objectivity, and professionalism; benefits of audit firm or lead partner rotations; and the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comprehensiveness of evaluations of internal controls. The Audit Committee also considers the relative costs, benefits,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challenges, and other potential impacts of selecting a different independent public accounting firm. The Company has been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advised that representatives of Ernst &amp; Young will be present at the Annual Meeting with the opportunity to make a statement if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the representatives desire to do so. It is expected that the representatives will be available to respond to appropriate questions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relating to the Company’s financial statements.</w:t>
      </w:r>
    </w:p>
    <w:p>
      <w:pPr>
        <w:pStyle w:val="TextBody"/>
        <w:bidi w:val="0"/>
        <w:spacing w:lineRule="atLeast" w:line="24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24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24"/>
          <w:u w:val="none"/>
          <w:effect w:val="none"/>
        </w:rPr>
        <w:t>Pre-Approval Policies and Procedures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Pursuant to its charter, the Audit Committee is responsible for reviewing and pre-approving all audit and non-audit services. In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reviewing and approving audit and non-audit service fees, the Audit Committee considers a number of factors, including the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scope and quality of work, as well as an assessment of the impact on auditor independence of non-audit fees and services. The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Audit Committee may delegate pre-approval authority to the chair or another member of the Audit Committee, in which case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such approval must be presented to the full Audit Committee at its next scheduled meeting. The Audit Committee pre-approved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all audit, audit-related and tax services provided by Ernst &amp; Young for the recently completed fiscal year.</w:t>
      </w:r>
    </w:p>
    <w:p>
      <w:pPr>
        <w:pStyle w:val="TextBody"/>
        <w:bidi w:val="0"/>
        <w:spacing w:lineRule="atLeast" w:line="24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24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24"/>
          <w:u w:val="none"/>
          <w:effect w:val="none"/>
        </w:rPr>
        <w:t>Lead Audit Partner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In accordance with SEC rules, audit partners are subject to rotation requirements to limit the number of consecutive years an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individual partner may provide service to our Company. For lead audit partners, the maximum number of consecutive years of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service in that capacity is five years. The process for consideration and selection of the Company’s lead audit partner pursuant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to this rotation policy involves a comprehensive interview process in which management and the chair of the Audit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Committee participate.</w:t>
      </w:r>
    </w:p>
    <w:p>
      <w:pPr>
        <w:pStyle w:val="TextBody"/>
        <w:bidi w:val="0"/>
        <w:spacing w:lineRule="atLeast" w:line="24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24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24"/>
          <w:u w:val="none"/>
          <w:effect w:val="none"/>
        </w:rPr>
        <w:t>Independent Auditor Fee Information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Fees for professional services provided by Ernst &amp; Young in each of the last two fiscal years, in each of the following categories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including related expenses are set forth below. The Audit Committee believes that the professional services performed by Ernst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&amp; Young were compatible with maintaining Ernst &amp; Young’s independence.</w:t>
      </w:r>
    </w:p>
    <w:tbl>
      <w:tblPr>
        <w:tblW w:w="3393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516"/>
        <w:gridCol w:w="916"/>
        <w:gridCol w:w="961"/>
      </w:tblGrid>
      <w:tr>
        <w:trPr/>
        <w:tc>
          <w:tcPr>
            <w:tcW w:w="151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516" w:type="dxa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6" w:type="dxa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3/31/2026</w:t>
            </w:r>
          </w:p>
        </w:tc>
        <w:tc>
          <w:tcPr>
            <w:tcW w:w="961" w:type="dxa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3/31/2025</w:t>
            </w:r>
          </w:p>
        </w:tc>
      </w:tr>
      <w:tr>
        <w:trPr/>
        <w:tc>
          <w:tcPr>
            <w:tcW w:w="1516" w:type="dxa"/>
            <w:tcBorders>
              <w:top w:val="single" w:sz="4" w:space="0" w:color="18333C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/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7"/>
                <w:u w:val="none"/>
                <w:effect w:val="none"/>
              </w:rPr>
              <w:t>Audit fees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1"/>
                <w:u w:val="none"/>
                <w:effect w:val="none"/>
              </w:rPr>
              <w:t>(1)</w:t>
            </w:r>
          </w:p>
        </w:tc>
        <w:tc>
          <w:tcPr>
            <w:tcW w:w="916" w:type="dxa"/>
            <w:tcBorders>
              <w:top w:val="single" w:sz="4" w:space="0" w:color="18333C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$4,049,000</w:t>
            </w:r>
          </w:p>
        </w:tc>
        <w:tc>
          <w:tcPr>
            <w:tcW w:w="961" w:type="dxa"/>
            <w:tcBorders>
              <w:top w:val="single" w:sz="4" w:space="0" w:color="18333C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$5,767,000</w:t>
            </w:r>
          </w:p>
        </w:tc>
      </w:tr>
      <w:tr>
        <w:trPr/>
        <w:tc>
          <w:tcPr>
            <w:tcW w:w="151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/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7"/>
                <w:u w:val="none"/>
                <w:effect w:val="none"/>
              </w:rPr>
              <w:t>Audit-related fees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1"/>
                <w:u w:val="none"/>
                <w:effect w:val="none"/>
              </w:rPr>
              <w:t>(2)</w:t>
            </w:r>
          </w:p>
        </w:tc>
        <w:tc>
          <w:tcPr>
            <w:tcW w:w="91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8,000</w:t>
            </w:r>
          </w:p>
        </w:tc>
        <w:tc>
          <w:tcPr>
            <w:tcW w:w="961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8,000</w:t>
            </w:r>
          </w:p>
        </w:tc>
      </w:tr>
      <w:tr>
        <w:trPr/>
        <w:tc>
          <w:tcPr>
            <w:tcW w:w="151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/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7"/>
                <w:u w:val="none"/>
                <w:effect w:val="none"/>
              </w:rPr>
              <w:t>Tax fees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1"/>
                <w:u w:val="none"/>
                <w:effect w:val="none"/>
              </w:rPr>
              <w:t>(3)</w:t>
            </w:r>
          </w:p>
        </w:tc>
        <w:tc>
          <w:tcPr>
            <w:tcW w:w="91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1,380,000</w:t>
            </w:r>
          </w:p>
        </w:tc>
        <w:tc>
          <w:tcPr>
            <w:tcW w:w="961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1,661,000</w:t>
            </w:r>
          </w:p>
        </w:tc>
      </w:tr>
      <w:tr>
        <w:trPr/>
        <w:tc>
          <w:tcPr>
            <w:tcW w:w="1516" w:type="dxa"/>
            <w:tcBorders>
              <w:top w:val="single" w:sz="2" w:space="0" w:color="8C8D8F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Total fees</w:t>
            </w:r>
          </w:p>
        </w:tc>
        <w:tc>
          <w:tcPr>
            <w:tcW w:w="916" w:type="dxa"/>
            <w:tcBorders>
              <w:top w:val="single" w:sz="2" w:space="0" w:color="8C8D8F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$5,437,000</w:t>
            </w:r>
          </w:p>
        </w:tc>
        <w:tc>
          <w:tcPr>
            <w:tcW w:w="961" w:type="dxa"/>
            <w:tcBorders>
              <w:top w:val="single" w:sz="2" w:space="0" w:color="8C8D8F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$7,436,000</w:t>
            </w:r>
          </w:p>
        </w:tc>
      </w:tr>
    </w:tbl>
    <w:p>
      <w:pPr>
        <w:pStyle w:val="TextBody"/>
        <w:bidi w:val="0"/>
        <w:spacing w:lineRule="atLeast" w:line="142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(1)Audit fees were for audit services, including (a) the annual audit (including required quarterly reviews), subsidiary audits and other procedures required to be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42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performed by the independent auditor to be able to form an opinion on the Company’s consolidated financial statements, (b) the audit of the effectiveness of the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42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Company’s internal control over financial reporting, (c) consultation with management as to the accounting or disclosure treatment of transactions or events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42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and/or the actual or potential impact of final proposed rules, standards or interpretations by the SEC, the Financial Accounting Standards Board or other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42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regulatory or standard-setting bodies, (d) international statutory audits, and (e) services that only the independent auditor reasonably can provide, such as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42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services associated with SEC registration statements, periodic reports and other documents filed with the SEC or other documents issued in connection with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42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securities offerings and assistance in responding to SEC comment letters.</w:t>
      </w:r>
    </w:p>
    <w:p>
      <w:pPr>
        <w:pStyle w:val="TextBody"/>
        <w:bidi w:val="0"/>
        <w:spacing w:lineRule="atLeast" w:line="142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(2)Audit-related fees consist of fees billed for assurance and related services that are reasonably related to the performance of the audit or review of our financial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42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statements and not reported under “Audit Fees.”</w:t>
      </w:r>
    </w:p>
    <w:p>
      <w:pPr>
        <w:pStyle w:val="TextBody"/>
        <w:bidi w:val="0"/>
        <w:spacing w:lineRule="atLeast" w:line="142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(3)Tax fees were for services related to (a) tax compliance (including the preparation, review and filing of tax returns) and advice and (b) tax planning and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42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4"/>
          <w:u w:val="none"/>
          <w:effect w:val="none"/>
        </w:rPr>
        <w:t>tax advice.</w:t>
      </w:r>
    </w:p>
    <w:tbl>
      <w:tblPr>
        <w:tblW w:w="493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301"/>
        <w:gridCol w:w="4636"/>
      </w:tblGrid>
      <w:tr>
        <w:trPr/>
        <w:tc>
          <w:tcPr>
            <w:tcW w:w="30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0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82</w:t>
            </w:r>
          </w:p>
        </w:tc>
        <w:tc>
          <w:tcPr>
            <w:tcW w:w="4636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sz w:val="24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TAKE-TWO INTERACTIVE SOFTWARE, INC.   |   2026</w:t>
            </w:r>
            <w:r>
              <w:rPr>
                <w:caps w:val="false"/>
                <w:smallCaps w:val="false"/>
                <w:strike w:val="false"/>
                <w:dstrike w:val="false"/>
                <w:color w:val="18333C"/>
                <w:sz w:val="24"/>
                <w:u w:val="none"/>
                <w:effect w:val="none"/>
              </w:rPr>
              <w:t xml:space="preserve"> 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Proxy Statement</w:t>
            </w:r>
          </w:p>
        </w:tc>
      </w:tr>
    </w:tbl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38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38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38"/>
          <w:u w:val="none"/>
          <w:effect w:val="none"/>
        </w:rPr>
        <w:t xml:space="preserve">REPORT OF THE AUDIT COMMITTEE OF THE BOARD </w:t>
      </w:r>
    </w:p>
    <w:p>
      <w:pPr>
        <w:pStyle w:val="TextBody"/>
        <w:bidi w:val="0"/>
        <w:spacing w:lineRule="atLeast" w:line="38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38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38"/>
          <w:u w:val="none"/>
          <w:effect w:val="none"/>
        </w:rPr>
        <w:t>OF DIRECTORS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/>
          <w:strike w:val="false"/>
          <w:dstrike w:val="false"/>
          <w:sz w:val="18"/>
          <w:u w:val="none"/>
          <w:effect w:val="none"/>
        </w:rPr>
        <w:t>Notwithstanding anything to the contrary set forth in any of our previous or future filings under the Securities Act of 1933 or the</w:t>
      </w:r>
      <w:r>
        <w:rPr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/>
          <w:strike w:val="false"/>
          <w:dstrike w:val="false"/>
          <w:sz w:val="18"/>
          <w:u w:val="none"/>
          <w:effect w:val="none"/>
        </w:rPr>
        <w:t>Securities Exchange Act of 1934 that might incorporate this Proxy Statement or future filings with the SEC, in whole or in part,</w:t>
      </w:r>
      <w:r>
        <w:rPr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/>
          <w:strike w:val="false"/>
          <w:dstrike w:val="false"/>
          <w:sz w:val="18"/>
          <w:u w:val="none"/>
          <w:effect w:val="none"/>
        </w:rPr>
        <w:t>the following report shall not be deemed to be “soliciting material” or “filed” with the SEC and shall not be deemed to be</w:t>
      </w:r>
      <w:r>
        <w:rPr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/>
          <w:strike w:val="false"/>
          <w:dstrike w:val="false"/>
          <w:sz w:val="18"/>
          <w:u w:val="none"/>
          <w:effect w:val="none"/>
        </w:rPr>
        <w:t>incorporated by reference into any such filing.</w:t>
      </w:r>
    </w:p>
    <w:p>
      <w:pPr>
        <w:pStyle w:val="TextBody"/>
        <w:bidi w:val="0"/>
        <w:spacing w:lineRule="atLeast" w:line="24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24"/>
          <w:u w:val="none"/>
          <w:effect w:val="none"/>
        </w:rPr>
        <w:t>Review of the Company’s Audited Financial Statements for the Fiscal Year Ended</w:t>
      </w:r>
      <w:r>
        <w:rPr>
          <w:caps w:val="false"/>
          <w:smallCaps w:val="false"/>
          <w:strike w:val="false"/>
          <w:dstrike w:val="false"/>
          <w:color w:val="18333C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240" w:before="0" w:after="0"/>
        <w:jc w:val="both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24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24"/>
          <w:u w:val="none"/>
          <w:effect w:val="none"/>
        </w:rPr>
        <w:t>March 31, 2026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The Audit Committee oversees the Company’s financial reporting process on behalf of the Board of Directors. The Company’s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management has the primary responsibility for the financial statements, for maintaining effective internal control over financial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reporting and for assessing the effectiveness of internal control over financial reporting. In fulfilling its oversight responsibilities,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the Audit Committee reviewed and discussed the audited consolidated financial statements included in the Annual Report on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 xml:space="preserve">Form 10-K for the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fiscal year ended March 31, 2026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, with Company management, including a discussion of the quality, not just</w:t>
      </w:r>
      <w:r>
        <w:rPr>
          <w:caps w:val="false"/>
          <w:smallCaps w:val="false"/>
          <w:sz w:val="24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the acceptability, of the accounting principles; the reasonableness of significant judgments; and the clarity of disclosures in the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financial statements.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The Audit Committee reviewed with the independent registered public accounting firm, which is responsible for expressing an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opinion on the conformity of those audited consolidated financial statements with U.S. generally accepted accounting principles,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its judgments as to the quality, not just the acceptability, of the Company’s accounting principles and such other matters as are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required to be discussed with the Audit Committee by the applicable requirements of the Public Company Accounting Oversight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Board (United States) (“PCAOB”) rules of the SEC, and other applicable regulations. In addition, the Audit Committee has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received the written disclosures and the letter from the independent registered public accounting firm required by applicable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requirements of the PCAOB regarding the independent registered public accounting firm’s communications with the Audit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Committee concerning independence, and has discussed with the independent registered public accounting firm the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independent registered public accounting firm’s independence.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The Audit Committee also reviewed management’s report on its assessment of the effectiveness of the Company’s internal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control over financial reporting and the independent registered public accounting firm’s report on the effectiveness of the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Company’s internal control over financial reporting.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The Audit Committee discussed with the Company’s internal auditors and independent registered public accounting firm the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overall scope and plans for their respective audits. The Audit Committee meets with the internal auditors and the independent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registered public accounting firm, with and without management present, to discuss the results of their examinations, their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evaluations of the Company’s internal control, including internal control over financial reporting, and the overall quality of the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Company’s financial reporting.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In reliance on the reviews and discussions referred to above, the Audit Committee recommended to the Board of Directors, and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the Board of Directors has approved, that the audited consolidated financial statements and management’s assessment of the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effectiveness of the Company’s internal control over financial reporting be included in the Annual Report on Form 10-K for the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fiscal year ended March 31, 2026, filed by the Company with the SEC. The Audit Committee also has appointed Ernst &amp; Young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as the Company’s independent registered public accounting firm for the fiscal year ending March 31, 2027.</w:t>
      </w:r>
    </w:p>
    <w:tbl>
      <w:tblPr>
        <w:tblW w:w="709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801"/>
        <w:gridCol w:w="5296"/>
      </w:tblGrid>
      <w:tr>
        <w:trPr/>
        <w:tc>
          <w:tcPr>
            <w:tcW w:w="180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2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801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Dated: July 27, 2026</w:t>
            </w:r>
          </w:p>
        </w:tc>
        <w:tc>
          <w:tcPr>
            <w:tcW w:w="5296" w:type="dxa"/>
            <w:tcBorders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Submitted by the Audit Committee of the Board of Directors: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Susan Tolson (Chair)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Ellen Siminoff</w:t>
            </w:r>
          </w:p>
          <w:p>
            <w:pPr>
              <w:pStyle w:val="TableContents"/>
              <w:bidi w:val="0"/>
              <w:spacing w:lineRule="atLeast" w:line="18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Paul Viera</w:t>
            </w:r>
          </w:p>
        </w:tc>
      </w:tr>
    </w:tbl>
    <w:tbl>
      <w:tblPr>
        <w:tblW w:w="4982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4651"/>
        <w:gridCol w:w="331"/>
      </w:tblGrid>
      <w:tr>
        <w:trPr/>
        <w:tc>
          <w:tcPr>
            <w:tcW w:w="46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651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sz w:val="24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TAKE-TWO INTERACTIVE SOFTWARE, INC.   |   2026</w:t>
            </w:r>
            <w:r>
              <w:rPr>
                <w:caps w:val="false"/>
                <w:smallCaps w:val="false"/>
                <w:strike w:val="false"/>
                <w:dstrike w:val="false"/>
                <w:color w:val="18333C"/>
                <w:sz w:val="24"/>
                <w:u w:val="none"/>
                <w:effect w:val="none"/>
              </w:rPr>
              <w:t xml:space="preserve"> 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 xml:space="preserve">Proxy Statement </w:t>
            </w:r>
          </w:p>
        </w:tc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83</w:t>
            </w:r>
          </w:p>
        </w:tc>
      </w:tr>
    </w:tbl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38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38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38"/>
          <w:u w:val="none"/>
          <w:effect w:val="none"/>
        </w:rPr>
        <w:t>CAUTIONARY NOTE ABOUT FORWARD-</w:t>
      </w:r>
    </w:p>
    <w:p>
      <w:pPr>
        <w:pStyle w:val="TextBody"/>
        <w:bidi w:val="0"/>
        <w:spacing w:lineRule="atLeast" w:line="38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38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38"/>
          <w:u w:val="none"/>
          <w:effect w:val="none"/>
        </w:rPr>
        <w:t>LOOKING STATEMENTS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/>
          <w:strike w:val="false"/>
          <w:dstrike w:val="false"/>
          <w:sz w:val="18"/>
          <w:u w:val="none"/>
          <w:effect w:val="none"/>
        </w:rPr>
        <w:t>The statements contained in this Proxy Statement which are not historical facts, including statements relating to the Company’s</w:t>
      </w:r>
      <w:r>
        <w:rPr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/>
          <w:strike w:val="false"/>
          <w:dstrike w:val="false"/>
          <w:sz w:val="18"/>
          <w:u w:val="none"/>
          <w:effect w:val="none"/>
        </w:rPr>
        <w:t>outlook, are considered forward-looking statements under federal securities laws and may be identified by words such as</w:t>
      </w:r>
      <w:r>
        <w:rPr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strike w:val="false"/>
          <w:dstrike w:val="false"/>
          <w:u w:val="none"/>
          <w:effect w:val="none"/>
        </w:rPr>
        <w:t>“</w:t>
      </w:r>
      <w:r>
        <w:rPr>
          <w:rFonts w:ascii="Arial;sans-serif" w:hAnsi="Arial;sans-serif"/>
          <w:b w:val="false"/>
          <w:i/>
          <w:strike w:val="false"/>
          <w:dstrike w:val="false"/>
          <w:sz w:val="18"/>
          <w:u w:val="none"/>
          <w:effect w:val="none"/>
        </w:rPr>
        <w:t>anticipates,” “believes,” “estimates,” “expects,” “intends,” “plans,” “potential,” “predicts,” “projects,” “seeks,” “should,” “will,” or</w:t>
      </w:r>
      <w:r>
        <w:rPr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/>
          <w:strike w:val="false"/>
          <w:dstrike w:val="false"/>
          <w:sz w:val="18"/>
          <w:u w:val="none"/>
          <w:effect w:val="none"/>
        </w:rPr>
        <w:t>words of similar meaning and include, but are not limited to, statements regarding the outlook for the Company’s future</w:t>
      </w:r>
      <w:r>
        <w:rPr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/>
          <w:strike w:val="false"/>
          <w:dstrike w:val="false"/>
          <w:sz w:val="18"/>
          <w:u w:val="none"/>
          <w:effect w:val="none"/>
        </w:rPr>
        <w:t>business and financial performance. Such forward-looking statements are based on the current beliefs of our management as</w:t>
      </w:r>
      <w:r>
        <w:rPr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/>
          <w:strike w:val="false"/>
          <w:dstrike w:val="false"/>
          <w:sz w:val="18"/>
          <w:u w:val="none"/>
          <w:effect w:val="none"/>
        </w:rPr>
        <w:t>well as assumptions made by and information currently available to them, which are subject to inherent uncertainties, risks and</w:t>
      </w:r>
      <w:r>
        <w:rPr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/>
          <w:strike w:val="false"/>
          <w:dstrike w:val="false"/>
          <w:sz w:val="18"/>
          <w:u w:val="none"/>
          <w:effect w:val="none"/>
        </w:rPr>
        <w:t>changes in circumstances that are difficult to predict. Actual outcomes and results may vary materially from these forward-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/>
          <w:strike w:val="false"/>
          <w:dstrike w:val="false"/>
          <w:sz w:val="18"/>
          <w:u w:val="none"/>
          <w:effect w:val="none"/>
        </w:rPr>
        <w:t>looking statements based on a variety of risks and uncertainties including: risks relating to the timely release and significant</w:t>
      </w:r>
      <w:r>
        <w:rPr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/>
          <w:strike w:val="false"/>
          <w:dstrike w:val="false"/>
          <w:sz w:val="18"/>
          <w:u w:val="none"/>
          <w:effect w:val="none"/>
        </w:rPr>
        <w:t>market acceptance of our games; the risks of conducting business internationally, including as a result of unforeseen</w:t>
      </w:r>
      <w:r>
        <w:rPr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/>
          <w:strike w:val="false"/>
          <w:dstrike w:val="false"/>
          <w:sz w:val="18"/>
          <w:u w:val="none"/>
          <w:effect w:val="none"/>
        </w:rPr>
        <w:t>geopolitical events; the impact of changes in interest rates by the Federal Reserve and other central banks, including on our</w:t>
      </w:r>
      <w:r>
        <w:rPr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/>
          <w:strike w:val="false"/>
          <w:dstrike w:val="false"/>
          <w:sz w:val="18"/>
          <w:u w:val="none"/>
          <w:effect w:val="none"/>
        </w:rPr>
        <w:t>short-term investment portfolio; the impact of inflation; volatility in foreign currency exchange rates; our dependence on key</w:t>
      </w:r>
      <w:r>
        <w:rPr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/>
          <w:strike w:val="false"/>
          <w:dstrike w:val="false"/>
          <w:sz w:val="18"/>
          <w:u w:val="none"/>
          <w:effect w:val="none"/>
        </w:rPr>
        <w:t>management and product development personnel; our dependence on our NBA 2K and Grand Theft Auto products and our</w:t>
      </w:r>
      <w:r>
        <w:rPr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/>
          <w:strike w:val="false"/>
          <w:dstrike w:val="false"/>
          <w:sz w:val="18"/>
          <w:u w:val="none"/>
          <w:effect w:val="none"/>
        </w:rPr>
        <w:t>ability to develop other hit titles; our ability to leverage opportunities on PlayStation</w:t>
      </w:r>
      <w:r>
        <w:rPr>
          <w:rFonts w:ascii="Arial;sans-serif" w:hAnsi="Arial;sans-serif"/>
          <w:b w:val="false"/>
          <w:i/>
          <w:strike w:val="false"/>
          <w:dstrike w:val="false"/>
          <w:sz w:val="12"/>
          <w:u w:val="none"/>
          <w:effect w:val="none"/>
        </w:rPr>
        <w:t>®</w:t>
      </w:r>
      <w:r>
        <w:rPr>
          <w:rFonts w:ascii="Arial;sans-serif" w:hAnsi="Arial;sans-serif"/>
          <w:b w:val="false"/>
          <w:i/>
          <w:strike w:val="false"/>
          <w:dstrike w:val="false"/>
          <w:sz w:val="18"/>
          <w:u w:val="none"/>
          <w:effect w:val="none"/>
        </w:rPr>
        <w:t>5 and Xbox Series X|S; factors affecting our</w:t>
      </w:r>
      <w:r>
        <w:rPr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/>
          <w:strike w:val="false"/>
          <w:dstrike w:val="false"/>
          <w:sz w:val="18"/>
          <w:u w:val="none"/>
          <w:effect w:val="none"/>
        </w:rPr>
        <w:t>mobile business, such as player acquisition costs; and the ability to maintain acceptable pricing levels on our games. Other</w:t>
      </w:r>
      <w:r>
        <w:rPr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/>
          <w:strike w:val="false"/>
          <w:dstrike w:val="false"/>
          <w:sz w:val="18"/>
          <w:u w:val="none"/>
          <w:effect w:val="none"/>
        </w:rPr>
        <w:t>important factors and information are contained in the Company’s most recent Annual Report on Form 10-K, including the risks</w:t>
      </w:r>
      <w:r>
        <w:rPr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/>
          <w:strike w:val="false"/>
          <w:dstrike w:val="false"/>
          <w:sz w:val="18"/>
          <w:u w:val="none"/>
          <w:effect w:val="none"/>
        </w:rPr>
        <w:t>summarized in the section titled “Risk Factors,” and the Company’s other periodic filings with the SEC, which can be accessed</w:t>
      </w:r>
      <w:r>
        <w:rPr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/>
          <w:strike w:val="false"/>
          <w:dstrike w:val="false"/>
          <w:sz w:val="18"/>
          <w:u w:val="none"/>
          <w:effect w:val="none"/>
        </w:rPr>
        <w:t>at www.take2games.com. All forward-looking statements are qualified by these cautionary statements and speak only as of the</w:t>
      </w:r>
      <w:r>
        <w:rPr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/>
          <w:strike w:val="false"/>
          <w:dstrike w:val="false"/>
          <w:sz w:val="18"/>
          <w:u w:val="none"/>
          <w:effect w:val="none"/>
        </w:rPr>
        <w:t>date they are made. The Company undertakes no obligation to update any forward-looking statement, whether as a result of</w:t>
      </w:r>
      <w:r>
        <w:rPr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/>
          <w:strike w:val="false"/>
          <w:dstrike w:val="false"/>
          <w:sz w:val="18"/>
          <w:u w:val="none"/>
          <w:effect w:val="none"/>
        </w:rPr>
        <w:t>new information, future events or otherwise.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38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38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38"/>
          <w:u w:val="none"/>
          <w:effect w:val="none"/>
        </w:rPr>
        <w:t xml:space="preserve">INFORMATION ABOUT THE ANNUAL MEETING </w:t>
      </w:r>
    </w:p>
    <w:p>
      <w:pPr>
        <w:pStyle w:val="TextBody"/>
        <w:bidi w:val="0"/>
        <w:spacing w:lineRule="atLeast" w:line="38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38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38"/>
          <w:u w:val="none"/>
          <w:effect w:val="none"/>
        </w:rPr>
        <w:t>AND VOTING</w:t>
      </w:r>
    </w:p>
    <w:p>
      <w:pPr>
        <w:pStyle w:val="TextBody"/>
        <w:bidi w:val="0"/>
        <w:spacing w:lineRule="atLeast" w:line="24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24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24"/>
          <w:u w:val="none"/>
          <w:effect w:val="none"/>
        </w:rPr>
        <w:t>What matters will be considered at the Annual Meeting?</w:t>
      </w:r>
    </w:p>
    <w:tbl>
      <w:tblPr>
        <w:tblW w:w="9931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9931"/>
      </w:tblGrid>
      <w:tr>
        <w:trPr/>
        <w:tc>
          <w:tcPr>
            <w:tcW w:w="99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931" w:type="dxa"/>
            <w:tcBorders/>
            <w:shd w:fill="F3F3F3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931" w:type="dxa"/>
            <w:tcBorders/>
            <w:shd w:fill="F3F3F3" w:val="clear"/>
            <w:vAlign w:val="center"/>
          </w:tcPr>
          <w:p>
            <w:pPr>
              <w:pStyle w:val="TableContents"/>
              <w:bidi w:val="0"/>
              <w:spacing w:lineRule="atLeast" w:line="180" w:before="0" w:after="0"/>
              <w:jc w:val="both"/>
              <w:rPr>
                <w:u w:val="singl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18333C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the election as directors of the 10 nominees named in the attached Proxy Statement;</w:t>
            </w:r>
          </w:p>
          <w:p>
            <w:pPr>
              <w:pStyle w:val="TableContents"/>
              <w:bidi w:val="0"/>
              <w:spacing w:lineRule="atLeast" w:line="180" w:before="0" w:after="0"/>
              <w:jc w:val="both"/>
              <w:rPr>
                <w:u w:val="singl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18333C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the approval, on a non-binding advisory basis, of the compensation of the Company’s “named executive officers” as</w:t>
            </w: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80" w:before="0" w:after="0"/>
              <w:jc w:val="both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disclosed in this Proxy Statement;</w:t>
            </w:r>
          </w:p>
          <w:p>
            <w:pPr>
              <w:pStyle w:val="TableContents"/>
              <w:bidi w:val="0"/>
              <w:spacing w:lineRule="atLeast" w:line="180" w:before="0" w:after="0"/>
              <w:jc w:val="both"/>
              <w:rPr>
                <w:u w:val="singl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18333C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the approval of a certificate of amendment to the Restated Certificate of Incorporation of Take-Two Interactive Software,</w:t>
            </w: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80" w:before="0" w:after="0"/>
              <w:jc w:val="both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Inc. to limit the liability of certain officers as permitted by Delaware law;</w:t>
            </w:r>
          </w:p>
          <w:p>
            <w:pPr>
              <w:pStyle w:val="TableContents"/>
              <w:bidi w:val="0"/>
              <w:spacing w:lineRule="atLeast" w:line="180" w:before="0" w:after="0"/>
              <w:jc w:val="both"/>
              <w:rPr>
                <w:u w:val="singl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18333C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the ratification of the appointment of Ernst &amp; Young LLP as our independent registered public accounting firm for the</w:t>
            </w:r>
            <w:r>
              <w:rPr>
                <w:caps w:val="false"/>
                <w:smallCaps w:val="false"/>
                <w:strike w:val="false"/>
                <w:dstrike w:val="false"/>
                <w:u w:val="none"/>
                <w:effect w:val="none"/>
              </w:rPr>
              <w:t xml:space="preserve"> </w:t>
            </w:r>
          </w:p>
          <w:p>
            <w:pPr>
              <w:pStyle w:val="TableContents"/>
              <w:bidi w:val="0"/>
              <w:spacing w:lineRule="atLeast" w:line="180" w:before="0" w:after="0"/>
              <w:jc w:val="both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fiscal year ending March 31, 2027; and</w:t>
            </w:r>
          </w:p>
          <w:p>
            <w:pPr>
              <w:pStyle w:val="TableContents"/>
              <w:bidi w:val="0"/>
              <w:spacing w:lineRule="atLeast" w:line="180" w:before="0" w:after="0"/>
              <w:jc w:val="both"/>
              <w:rPr>
                <w:u w:val="single"/>
              </w:rPr>
            </w:pPr>
            <w:r>
              <w:rPr>
                <w:caps w:val="false"/>
                <w:smallCaps w:val="false"/>
                <w:strike w:val="false"/>
                <w:dstrike w:val="false"/>
                <w:color w:val="18333C"/>
                <w:u w:val="none"/>
                <w:effect w:val="none"/>
              </w:rPr>
              <w:t>•</w:t>
            </w: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sz w:val="18"/>
                <w:u w:val="none"/>
                <w:effect w:val="none"/>
              </w:rPr>
              <w:t>such other business that may properly come before the Annual Meeting or any adjournment thereof.</w:t>
            </w:r>
          </w:p>
        </w:tc>
      </w:tr>
      <w:tr>
        <w:trPr/>
        <w:tc>
          <w:tcPr>
            <w:tcW w:w="9931" w:type="dxa"/>
            <w:tcBorders/>
            <w:shd w:fill="F3F3F3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lineRule="atLeast" w:line="24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24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24"/>
          <w:u w:val="none"/>
          <w:effect w:val="none"/>
        </w:rPr>
        <w:t>How does the Board of Directors recommend that shareholders vote on these matters?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The Board of Directors believes that the election of the nominated directors, the approval on an advisory basis of the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compensation of the named executive officers, the approval of a certificate of amendment to the Restated Certificate of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Incorporation of Take-Two Interactive Software, Inc., and the ratification of the appointment of Ernst &amp; Young as our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independent registered public accounting firm are in the best interests of the Company and its shareholders and, accordingly,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recommends a vote “FOR” for each of these proposals.</w:t>
      </w:r>
    </w:p>
    <w:tbl>
      <w:tblPr>
        <w:tblW w:w="493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301"/>
        <w:gridCol w:w="4636"/>
      </w:tblGrid>
      <w:tr>
        <w:trPr/>
        <w:tc>
          <w:tcPr>
            <w:tcW w:w="30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0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84</w:t>
            </w:r>
          </w:p>
        </w:tc>
        <w:tc>
          <w:tcPr>
            <w:tcW w:w="4636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sz w:val="24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TAKE-TWO INTERACTIVE SOFTWARE, INC.   |   2026</w:t>
            </w:r>
            <w:r>
              <w:rPr>
                <w:caps w:val="false"/>
                <w:smallCaps w:val="false"/>
                <w:strike w:val="false"/>
                <w:dstrike w:val="false"/>
                <w:color w:val="18333C"/>
                <w:sz w:val="24"/>
                <w:u w:val="none"/>
                <w:effect w:val="none"/>
              </w:rPr>
              <w:t xml:space="preserve"> 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Proxy Statement</w:t>
            </w:r>
          </w:p>
        </w:tc>
      </w:tr>
    </w:tbl>
    <w:p>
      <w:pPr>
        <w:pStyle w:val="TextBody"/>
        <w:bidi w:val="0"/>
        <w:spacing w:lineRule="atLeast" w:line="142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3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3"/>
          <w:u w:val="none"/>
          <w:effect w:val="none"/>
        </w:rPr>
        <w:t>INFORMATION ABOUT THE ANNUAL MEETING AND VOTING</w:t>
      </w:r>
    </w:p>
    <w:p>
      <w:pPr>
        <w:pStyle w:val="TextBody"/>
        <w:bidi w:val="0"/>
        <w:spacing w:lineRule="atLeast" w:line="24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24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24"/>
          <w:u w:val="none"/>
          <w:effect w:val="none"/>
        </w:rPr>
        <w:t>Who is entitled to vote?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Shareholders of record as of the close of business on July 23, 2026</w:t>
      </w:r>
      <w:r>
        <w:rPr>
          <w:caps w:val="false"/>
          <w:smallCaps w:val="false"/>
          <w:sz w:val="24"/>
          <w:u w:val="singl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(the “Record Date”) are entitled to attend and vote at the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Annual Meeting. Each shareholder is entitled to one vote for each share of common stock held on each matter submitted to a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vote at the Annual Meeting.</w:t>
      </w:r>
    </w:p>
    <w:p>
      <w:pPr>
        <w:pStyle w:val="TextBody"/>
        <w:bidi w:val="0"/>
        <w:spacing w:lineRule="atLeast" w:line="24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24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24"/>
          <w:u w:val="none"/>
          <w:effect w:val="none"/>
        </w:rPr>
        <w:t xml:space="preserve">Why did I receive a one-page notice in the mail regarding the Internet availability of </w:t>
      </w:r>
    </w:p>
    <w:p>
      <w:pPr>
        <w:pStyle w:val="TextBody"/>
        <w:bidi w:val="0"/>
        <w:spacing w:lineRule="atLeast" w:line="24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24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24"/>
          <w:u w:val="none"/>
          <w:effect w:val="none"/>
        </w:rPr>
        <w:t>proxy materials instead of a full set of proxy materials?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The rules of the SEC permit us to make our proxy materials available to beneficial owners of our stock electronically over the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Internet without mailing printed copies of the proxy materials. Accordingly, we are sending a Notice of Internet Availability of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Proxy Materials (</w:t>
      </w:r>
      <w:r>
        <w:rPr>
          <w:strike w:val="false"/>
          <w:dstrike w:val="false"/>
          <w:u w:val="none"/>
          <w:effect w:val="none"/>
        </w:rPr>
        <w:t>“</w:t>
      </w:r>
      <w:r>
        <w:rPr>
          <w:rFonts w:ascii="Arial;sans-serif" w:hAnsi="Arial;sans-serif"/>
          <w:b w:val="false"/>
          <w:i/>
          <w:strike w:val="false"/>
          <w:dstrike w:val="false"/>
          <w:sz w:val="18"/>
          <w:u w:val="none"/>
          <w:effect w:val="none"/>
        </w:rPr>
        <w:t>Notice of Internet Availability”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) to our beneficial owners. All beneficial owners will have the ability to access the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proxy materials, including this Proxy Statement and our 2026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Annual Report, on the website referred to in the Notice of Internet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Availability or to request a printed set of the proxy materials. Instructions on how to access the proxy materials over the Internet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or how to request a printed copy can be found in the Notice of Internet Availability. In addition, beneficial owners may request to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receive proxy materials in printed form by mail or electronically by email on an ongoing basis. Conversely, if your shares are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registered directly with Equiniti Trust Company LLC, you will not receive a Notice of Internet Availability, and instead will receive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 full copy of the Proxy Statement and Annual Report.</w:t>
      </w:r>
    </w:p>
    <w:p>
      <w:pPr>
        <w:pStyle w:val="TextBody"/>
        <w:bidi w:val="0"/>
        <w:spacing w:lineRule="atLeast" w:line="24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24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24"/>
          <w:u w:val="none"/>
          <w:effect w:val="none"/>
        </w:rPr>
        <w:t xml:space="preserve">What does it mean if I receive more than one Notice of Internet Availability or </w:t>
      </w:r>
    </w:p>
    <w:p>
      <w:pPr>
        <w:pStyle w:val="TextBody"/>
        <w:bidi w:val="0"/>
        <w:spacing w:lineRule="atLeast" w:line="24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24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24"/>
          <w:u w:val="none"/>
          <w:effect w:val="none"/>
        </w:rPr>
        <w:t>proxy card?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It may mean that you hold shares registered in more than one account. Follow the voting instructions provided on each Notice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of Internet Availability that you received to ensure that all of your shares are voted. If you received paper proxy cards, sign and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return all proxy cards to ensure that all of your shares are voted. You may call Equiniti Trust Company LLC at 1-800-937-5449 if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you have any questions regarding the share information or your address appearing on the paper proxy card.</w:t>
      </w:r>
    </w:p>
    <w:p>
      <w:pPr>
        <w:pStyle w:val="TextBody"/>
        <w:bidi w:val="0"/>
        <w:spacing w:lineRule="atLeast" w:line="24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24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24"/>
          <w:u w:val="none"/>
          <w:effect w:val="none"/>
        </w:rPr>
        <w:t>How do I vote?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You can vote by proxy over the Internet by following the instructions provided in the Notice of Internet Availability.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If you received a full set of proxy materials and your shares are registered directly with Equiniti Trust Company LLC, you may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vote via the Internet at www.proxyvote.com. Although we encourage you to vote via the Internet, you may also sign and date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each paper proxy card you receive and return it in the prepaid envelope; the paper proxy card also contains instructions for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voting by telephone. The enclosed proxy will be voted in accordance with the instructions thereon. Unless otherwise stated, all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shares represented by such proxy will be voted as instructed. Proxies may be revoked in the manner described above.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If you hold your shares through a stockbroker, nominee, fiduciary or other custodian you may also be able to vote through a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program provided through Broadridge Financial Solutions (“Broadridge”) that offers Internet voting options. If your shares are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held in an account at a brokerage firm or bank participating in the Broadridge program, you are offered the opportunity to elect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to vote via the Internet. Votes submitted via the Internet through the Broadridge program must be received by 11:59 p.m.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(Eastern Time) on September 16, 2026.</w:t>
      </w:r>
    </w:p>
    <w:p>
      <w:pPr>
        <w:pStyle w:val="TextBody"/>
        <w:bidi w:val="0"/>
        <w:spacing w:lineRule="atLeast" w:line="24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24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24"/>
          <w:u w:val="none"/>
          <w:effect w:val="none"/>
        </w:rPr>
        <w:t>What happens if I do not give specific voting instructions?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/>
          <w:sz w:val="18"/>
          <w:u w:val="single"/>
        </w:rPr>
        <w:t>For Shares Directly Registered in the Name of the Shareholder:</w:t>
      </w:r>
      <w:r>
        <w:rPr>
          <w:caps w:val="false"/>
          <w:smallCaps w:val="false"/>
          <w:u w:val="single"/>
        </w:rPr>
        <w:t> 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If you return your signed proxy but do not indicate your voting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preferences, the Company will vote on your behalf “FOR” the election of the nominated directors, “FOR” the approval on an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advisory basis of the compensation of the named executive officers, “FOR” a certificate of amendment to the Restated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Certificate of Incorporation, and “FOR” the ratification of the appointment of Ernst &amp; Young. If any other matter properly comes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before the shareholders for a vote at the Annual Meeting, the proxy holders will vote your shares in accordance with their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best judgment.</w:t>
      </w:r>
    </w:p>
    <w:tbl>
      <w:tblPr>
        <w:tblW w:w="4982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4651"/>
        <w:gridCol w:w="331"/>
      </w:tblGrid>
      <w:tr>
        <w:trPr/>
        <w:tc>
          <w:tcPr>
            <w:tcW w:w="46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651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sz w:val="24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TAKE-TWO INTERACTIVE SOFTWARE, INC.   |   2026</w:t>
            </w:r>
            <w:r>
              <w:rPr>
                <w:caps w:val="false"/>
                <w:smallCaps w:val="false"/>
                <w:strike w:val="false"/>
                <w:dstrike w:val="false"/>
                <w:color w:val="18333C"/>
                <w:sz w:val="24"/>
                <w:u w:val="none"/>
                <w:effect w:val="none"/>
              </w:rPr>
              <w:t xml:space="preserve"> 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 xml:space="preserve">Proxy Statement </w:t>
            </w:r>
          </w:p>
        </w:tc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85</w:t>
            </w:r>
          </w:p>
        </w:tc>
      </w:tr>
    </w:tbl>
    <w:p>
      <w:pPr>
        <w:pStyle w:val="TextBody"/>
        <w:bidi w:val="0"/>
        <w:spacing w:lineRule="atLeast" w:line="142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3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3"/>
          <w:u w:val="none"/>
          <w:effect w:val="none"/>
        </w:rPr>
        <w:t>INFORMATION ABOUT THE ANNUAL MEETING AND VOTING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/>
          <w:strike w:val="false"/>
          <w:dstrike w:val="false"/>
          <w:sz w:val="18"/>
          <w:u w:val="none"/>
          <w:effect w:val="none"/>
        </w:rPr>
        <w:t>For Shares Registered in the Name of a Brokerage Firm or Bank: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> 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If your shares are held in street name, your broker or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nominee will ask you how you want your shares to be voted. If you provide voting instructions, your shares must be voted as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you direct. If you do not furnish voting instructions, one of two things can happen, depending upon whether a proposal is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caps w:val="false"/>
          <w:smallCaps w:val="false"/>
          <w:strike w:val="false"/>
          <w:dstrike w:val="false"/>
          <w:u w:val="none"/>
          <w:effect w:val="none"/>
        </w:rPr>
        <w:t>“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routine.” Under the rules that govern brokers that have record ownership of shares beneficially owned by their clients, brokers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have discretion to cast votes on routine matters, such as the ratification of the appointment of independent registered public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accounting firms, without voting instructions from their clients. Brokers are not permitted, however, to cast votes on “non-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routine” matters, such as the election of directors, the non-binding advisory vote to approve the compensation of the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Company’s “named executive officers” as disclosed in this Proxy Statement, and the approval of a certificate of amendment to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the Restated Certificate of Incorporation, without such voting instructions. A “broker non-vote” occurs when a broker holding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shares for a beneficial owner does not vote on a particular proposal because the broker does not have discretionary voting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power for that proposal and has not received voting instructions from the beneficial owner.</w:t>
      </w:r>
    </w:p>
    <w:p>
      <w:pPr>
        <w:pStyle w:val="TextBody"/>
        <w:bidi w:val="0"/>
        <w:spacing w:lineRule="atLeast" w:line="24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24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24"/>
          <w:u w:val="none"/>
          <w:effect w:val="none"/>
        </w:rPr>
        <w:t>What is an abstention?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An abstention is a properly signed proxy card that is marked “abstain” or properly completed instructions via the Internet to the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same effect.</w:t>
      </w:r>
    </w:p>
    <w:p>
      <w:pPr>
        <w:pStyle w:val="TextBody"/>
        <w:bidi w:val="0"/>
        <w:spacing w:lineRule="atLeast" w:line="24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24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24"/>
          <w:u w:val="none"/>
          <w:effect w:val="none"/>
        </w:rPr>
        <w:t>How do I sign the paper proxy card?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Sign your name exactly as it appears on the proxy card. If you are signing in a representative capacity (for example, as an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attorney, executor, administrator, guardian, trustee or the officer or agent of a company), you should indicate your name and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title or capacity. If the stock is held in custody for a minor (for example, under the Uniform Transfers to Minors Act), the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custodian should sign the proxy card, not the minor. If the stock is held in joint ownership, both owners must sign.</w:t>
      </w:r>
    </w:p>
    <w:p>
      <w:pPr>
        <w:pStyle w:val="TextBody"/>
        <w:bidi w:val="0"/>
        <w:spacing w:lineRule="atLeast" w:line="24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24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24"/>
          <w:u w:val="none"/>
          <w:effect w:val="none"/>
        </w:rPr>
        <w:t xml:space="preserve">May I attend the Annual Meeting via the Internet? May I vote my shares at the </w:t>
      </w:r>
    </w:p>
    <w:p>
      <w:pPr>
        <w:pStyle w:val="TextBody"/>
        <w:bidi w:val="0"/>
        <w:spacing w:lineRule="atLeast" w:line="24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24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24"/>
          <w:u w:val="none"/>
          <w:effect w:val="none"/>
        </w:rPr>
        <w:t>Annual Meeting?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Shareholders may attend our Annual Meeting via the Internet at www.virtualshareholdermeeting.com/TTWO2026. Shareholders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will not be able to attend the Annual Meeting in person.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B0295B"/>
          <w:sz w:val="20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B0295B"/>
          <w:sz w:val="20"/>
          <w:u w:val="none"/>
          <w:effect w:val="none"/>
        </w:rPr>
        <w:t>Access to the Annual Meeting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The live audio webcast of the Annual Meeting will begin promptly at 9:00 a.m. Eastern Time. Online access to the audio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webcast will open approximately 15 minutes prior to the start of the Annual Meeting to allow time for our shareholders to log in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and test their devices’ audio system. We encourage our shareholders to access the meeting in advance of the designated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start time.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B0295B"/>
          <w:sz w:val="20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B0295B"/>
          <w:sz w:val="20"/>
          <w:u w:val="none"/>
          <w:effect w:val="none"/>
        </w:rPr>
        <w:t>Log-in Instructions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To attend the Annual Meeting, shareholders will need to log-in to www.virtualshareholdermeeting.com/TTWO2026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using the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16-digit control number on the Notice of Internet Availability or proxy card.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B0295B"/>
          <w:sz w:val="20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B0295B"/>
          <w:sz w:val="20"/>
          <w:u w:val="none"/>
          <w:effect w:val="none"/>
        </w:rPr>
        <w:t>Submitting Questions and Voting at the Annual Meeting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Shareholders may submit questions relevant to the business of the Annual Meeting and vote on the day of, or during, the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Annual Meeting on www.virtualshareholdermeeting.com/TTWO2026. To demonstrate proof of stock ownership, you will need to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enter the 16-digit control number received with your Notice of Internet Availability or proxy card to submit questions and vote at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our Annual Meeting. We intend to answer questions submitted during the meeting that are pertinent to the items being brought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before shareholder vote at the Annual Meeting, as time permits, and in accordance with the rules of conduct for the Annual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Meeting. To ensure that the Annual Meeting is conducted in a manner that is fair to all shareholders, the chair of the meeting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may exercise broad discretion in recognizing shareholders who wish to participate, the order in which questions are asked, and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the amount of time devoted to any one question. We reserve the right to edit or reject questions we deem inappropriate.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While all shareholders can vote during the Annual Meeting as described above, we encourage you to vote by proxy card or the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Internet in advance even if you plan to attend the meeting so that your vote will be counted if you later decide not to attend our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Annual Meeting.</w:t>
      </w:r>
    </w:p>
    <w:tbl>
      <w:tblPr>
        <w:tblW w:w="493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301"/>
        <w:gridCol w:w="4636"/>
      </w:tblGrid>
      <w:tr>
        <w:trPr/>
        <w:tc>
          <w:tcPr>
            <w:tcW w:w="30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0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86</w:t>
            </w:r>
          </w:p>
        </w:tc>
        <w:tc>
          <w:tcPr>
            <w:tcW w:w="4636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sz w:val="24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TAKE-TWO INTERACTIVE SOFTWARE, INC.   |   2026</w:t>
            </w:r>
            <w:r>
              <w:rPr>
                <w:caps w:val="false"/>
                <w:smallCaps w:val="false"/>
                <w:strike w:val="false"/>
                <w:dstrike w:val="false"/>
                <w:color w:val="18333C"/>
                <w:sz w:val="24"/>
                <w:u w:val="none"/>
                <w:effect w:val="none"/>
              </w:rPr>
              <w:t xml:space="preserve"> 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Proxy Statement</w:t>
            </w:r>
          </w:p>
        </w:tc>
      </w:tr>
    </w:tbl>
    <w:p>
      <w:pPr>
        <w:pStyle w:val="TextBody"/>
        <w:bidi w:val="0"/>
        <w:spacing w:lineRule="atLeast" w:line="142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3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3"/>
          <w:u w:val="none"/>
          <w:effect w:val="none"/>
        </w:rPr>
        <w:t>INFORMATION ABOUT THE ANNUAL MEETING AND VOTING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B0295B"/>
          <w:sz w:val="20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B0295B"/>
          <w:sz w:val="20"/>
          <w:u w:val="none"/>
          <w:effect w:val="none"/>
        </w:rPr>
        <w:t>Technical Assistance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We have retained Broadridge to host our virtual annual meeting and to distribute, receive, count and tabulate proxies. On the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day of our Annual Meeting, our support team at Broadridge will be available to answer your questions regarding how to attend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and participate at our Annual Meeting via the Internet or if you encounter any technical difficulty accessing or during the virtual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meeting, in each case by calling the technical support number that will be posted on the virtual annual meeting log-in page.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B0295B"/>
          <w:sz w:val="20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B0295B"/>
          <w:sz w:val="20"/>
          <w:u w:val="none"/>
          <w:effect w:val="none"/>
        </w:rPr>
        <w:t xml:space="preserve">Your attendance at the Annual Meeting in and of itself will not automatically revoke a proxy that was 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B0295B"/>
          <w:sz w:val="20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B0295B"/>
          <w:sz w:val="20"/>
          <w:u w:val="none"/>
          <w:effect w:val="none"/>
        </w:rPr>
        <w:t>submitted via the Internet or telephone or by mail.</w:t>
      </w:r>
    </w:p>
    <w:p>
      <w:pPr>
        <w:pStyle w:val="TextBody"/>
        <w:bidi w:val="0"/>
        <w:spacing w:lineRule="atLeast" w:line="24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24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24"/>
          <w:u w:val="none"/>
          <w:effect w:val="none"/>
        </w:rPr>
        <w:t>Who will count the votes?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 representative of Broadridge will tabulate the votes and act as independent inspector of election.</w:t>
      </w:r>
    </w:p>
    <w:p>
      <w:pPr>
        <w:pStyle w:val="TextBody"/>
        <w:bidi w:val="0"/>
        <w:spacing w:lineRule="atLeast" w:line="24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24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24"/>
          <w:u w:val="none"/>
          <w:effect w:val="none"/>
        </w:rPr>
        <w:t>What constitutes a quorum?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The holders of a majority of the outstanding shares of common stock on the Record Date present in person or represented by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proxy constitutes a quorum for the Annual Meeting. As of the close of business on the Record Date, 186,980,443 shares of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common stock were issued and outstanding. Subject to the rules regarding the votes necessary to adopt the proposals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discussed below, abstentions and broker non-votes (as described above) will be counted for purposes of determining whether a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quorum is present. Once a share is represented for any purpose at the Annual Meeting, it will be deemed present for quorum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purposes for the remainder of the Annual Meeting (including any meeting resulting from an adjournment or postponement of the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Annual Meeting, unless a new record date is set).</w:t>
      </w:r>
    </w:p>
    <w:p>
      <w:pPr>
        <w:pStyle w:val="TextBody"/>
        <w:bidi w:val="0"/>
        <w:spacing w:lineRule="atLeast" w:line="24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24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24"/>
          <w:u w:val="none"/>
          <w:effect w:val="none"/>
        </w:rPr>
        <w:t>What vote is needed to approve the matters to be presented at the Annual Meeting?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In an uncontested election for directors, a director shall be elected at the Annual Meeting if the number of votes that are cast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caps w:val="false"/>
          <w:smallCaps w:val="false"/>
          <w:strike w:val="false"/>
          <w:dstrike w:val="false"/>
          <w:u w:val="none"/>
          <w:effect w:val="none"/>
        </w:rPr>
        <w:t>“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FOR” his or her election by holders of the stock present in person or represented by proxy entitled to vote on the election of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directors exceeds the number of votes cast “AGAINST” his or her election by such holders. The Company’s bylaws provide that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any incumbent nominee for director who fails to meet this standard shall promptly tender the individual’s resignation to the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Corporate Governance Committee for consideration following certification of the shareholder vote. See above under the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heading “Election of Directors (Proposal 1)—Policy on Majority Voting for Directors.” A “FOR” vote by the holders of a majority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of the shares present in person or represented by proxy and entitled to vote is required: to approve, on a non-binding advisory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basis, the compensation of the Company’s “named executive officers” as disclosed in this Proxy Statement; to ratify the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appointment of Ernst &amp; Young; and to approve any shareholder proposal. A “FOR” vote by holders of a majority of the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outstanding shares of our common stock entitled to vote at the annual meeting is required to approve the certificate of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amendment to the Take-Two Restated Certificate of Incorporation. For purposes of determining approval of a matter presented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at the Annual Meeting, abstentions will be deemed present and entitled to vote (but not cast). As such, an abstention will (i)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have no effect on the director election proposal and (ii) have the effect of a vote “against” the proposals: to approve, on a non-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binding advisory basis, the compensation of the Company’s “named executive officers”; to ratify the appointment of Ernst &amp;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Young; and to approve any shareholder proposal. For all proposals other than the approval of the certificate of amendment to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the Take-Two Restated Certificate of Incorporation and the ratification of the appointment of Ernst &amp; Young, broker non-votes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will have no effect because they are not deemed present and entitled to vote on the matter; brokers will have discretion to cast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votes on the appointment of Ernst &amp; Young. If a shareholder fails to vote, fails to instruct its bank, broker, or other nominee to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vote with respect to the proposal to amend the Take-Two Restated Certificate of Incorporation, or abstains from voting, it will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have the same effect as a vote “against” the proposal to amend the Take-Two Restated Certificate of Incorporation. Both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abstentions and broker non-votes will be counted for purposes of determining whether a quorum is present.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tbl>
      <w:tblPr>
        <w:tblW w:w="4982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4651"/>
        <w:gridCol w:w="331"/>
      </w:tblGrid>
      <w:tr>
        <w:trPr/>
        <w:tc>
          <w:tcPr>
            <w:tcW w:w="46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651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sz w:val="24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TAKE-TWO INTERACTIVE SOFTWARE, INC.   |   2026</w:t>
            </w:r>
            <w:r>
              <w:rPr>
                <w:caps w:val="false"/>
                <w:smallCaps w:val="false"/>
                <w:strike w:val="false"/>
                <w:dstrike w:val="false"/>
                <w:color w:val="18333C"/>
                <w:sz w:val="24"/>
                <w:u w:val="none"/>
                <w:effect w:val="none"/>
              </w:rPr>
              <w:t xml:space="preserve"> 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 xml:space="preserve">Proxy Statement </w:t>
            </w:r>
          </w:p>
        </w:tc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87</w:t>
            </w:r>
          </w:p>
        </w:tc>
      </w:tr>
    </w:tbl>
    <w:p>
      <w:pPr>
        <w:pStyle w:val="TextBody"/>
        <w:bidi w:val="0"/>
        <w:spacing w:lineRule="atLeast" w:line="142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3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3"/>
          <w:u w:val="none"/>
          <w:effect w:val="none"/>
        </w:rPr>
        <w:t>INFORMATION ABOUT THE ANNUAL MEETING AND VOTING</w:t>
      </w:r>
    </w:p>
    <w:p>
      <w:pPr>
        <w:pStyle w:val="TextBody"/>
        <w:bidi w:val="0"/>
        <w:spacing w:lineRule="atLeast" w:line="24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24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24"/>
          <w:u w:val="none"/>
          <w:effect w:val="none"/>
        </w:rPr>
        <w:t>Will any other matters be acted on at the Annual Meeting?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If any other matters are properly presented at the Annual Meeting or any adjournment, the persons named in the proxy will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have discretion to vote on those matters. As of the date by which shareholder proposals must have been received by the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Company to be presented at the Annual Meeting, and as of the date of this Proxy Statement, the Company did not know of any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other matters to be presented at the Annual Meeting.</w:t>
      </w:r>
    </w:p>
    <w:p>
      <w:pPr>
        <w:pStyle w:val="TextBody"/>
        <w:bidi w:val="0"/>
        <w:spacing w:lineRule="atLeast" w:line="24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24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24"/>
          <w:u w:val="none"/>
          <w:effect w:val="none"/>
        </w:rPr>
        <w:t>Who pays for this proxy solicitation?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The Company will bear the entire cost of soliciting proxies, including the costs of preparing, assembling, printing and mailing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this Proxy Statement, the proxy and any additional soliciting material furnished to shareholders. The Company has retained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MacKenzie Partners, Inc., a proxy solicitation firm, to solicit proxies for a fee of $20,000, plus reimbursement of its out-of-pocket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expenses. Arrangements will be made with brokerage houses and other custodians, nominees and fiduciaries to send proxies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and proxy materials to the beneficial owners of stock, and these entities may be reimbursed by the Company for their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expenses. Proxies also may be solicited by directors, officers or employees of the Company in person or by telephone, e-mail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or other means. No additional compensation will be paid to such individuals for these services.</w:t>
      </w:r>
    </w:p>
    <w:p>
      <w:pPr>
        <w:pStyle w:val="TextBody"/>
        <w:bidi w:val="0"/>
        <w:spacing w:lineRule="atLeast" w:line="24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24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24"/>
          <w:u w:val="none"/>
          <w:effect w:val="none"/>
        </w:rPr>
        <w:t>How may I communicate with the Board of Directors?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Shareholders wishing to send communications to the Board of Directors individually or as a group may do so by writing to: The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Board of Directors of Take-Two Interactive Software, Inc., 110 West 44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2"/>
          <w:u w:val="none"/>
          <w:effect w:val="none"/>
        </w:rPr>
        <w:t>th 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Street, New York, New York 10036, Attention: Investor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Relations. You should identify your communication as being from a shareholder of the Company. The Company may require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reasonable evidence that your communication or other submission is made by a shareholder of the Company before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transmitting your communication to the Board of Directors.</w:t>
      </w:r>
    </w:p>
    <w:tbl>
      <w:tblPr>
        <w:tblW w:w="493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301"/>
        <w:gridCol w:w="4636"/>
      </w:tblGrid>
      <w:tr>
        <w:trPr/>
        <w:tc>
          <w:tcPr>
            <w:tcW w:w="30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0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88</w:t>
            </w:r>
          </w:p>
        </w:tc>
        <w:tc>
          <w:tcPr>
            <w:tcW w:w="4636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sz w:val="24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TAKE-TWO INTERACTIVE SOFTWARE, INC.   |   2026</w:t>
            </w:r>
            <w:r>
              <w:rPr>
                <w:caps w:val="false"/>
                <w:smallCaps w:val="false"/>
                <w:strike w:val="false"/>
                <w:dstrike w:val="false"/>
                <w:color w:val="18333C"/>
                <w:sz w:val="24"/>
                <w:u w:val="none"/>
                <w:effect w:val="none"/>
              </w:rPr>
              <w:t xml:space="preserve"> 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Proxy Statement</w:t>
            </w:r>
          </w:p>
        </w:tc>
      </w:tr>
    </w:tbl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38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38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38"/>
          <w:u w:val="none"/>
          <w:effect w:val="none"/>
        </w:rPr>
        <w:t>AVAILABILITY OF CERTAIN DOCUMENTS</w:t>
      </w:r>
    </w:p>
    <w:p>
      <w:pPr>
        <w:pStyle w:val="TextBody"/>
        <w:bidi w:val="0"/>
        <w:spacing w:lineRule="atLeast" w:line="24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24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24"/>
          <w:u w:val="none"/>
          <w:effect w:val="none"/>
        </w:rPr>
        <w:t>Householding of Annual Meeting materials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Some banks, brokers and other nominee record holders may participate in the practice of “householding” Proxy Statements and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their accompanying documents and/or Notices of Internet Availability. This means that only one copy of our Proxy Statement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and/or Notice of Internet Availability is sent to multiple shareholders in your household. We will promptly deliver a separate copy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of these documents without charge to you upon written request to Take-Two Interactive Software, Inc., 110 West 44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2"/>
          <w:u w:val="none"/>
          <w:effect w:val="none"/>
        </w:rPr>
        <w:t>th 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Street,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New York, New York 10036, Attn: Investor Relations; our main telephone number is (646) 536-2842. If you want to receive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separate copies of our Proxy Statements and/or Notice of Internet Availability in the future, or if you are receiving multiple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copies and would like to receive only one copy per household, you should contact your bank, broker or other nominee record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holder, or you may contact us at the above address.</w:t>
      </w:r>
    </w:p>
    <w:p>
      <w:pPr>
        <w:pStyle w:val="TextBody"/>
        <w:bidi w:val="0"/>
        <w:spacing w:lineRule="atLeast" w:line="24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24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24"/>
          <w:u w:val="none"/>
          <w:effect w:val="none"/>
        </w:rPr>
        <w:t>Additional information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We are required to file annual, quarterly and current reports, Proxy Statements and other reports with the SEC. Copies of these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filings are available through our Internet website at www.take2games.com or the SEC’s website at www.sec.gov. We will furnish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copies of our SEC filings (without exhibits), including our Annual Report on Form 10-K for the fiscal year ended March 31, 2026,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without charge to any shareholder upon written request to Take-Two Interactive Software, Inc., 110 West 44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2"/>
          <w:u w:val="none"/>
          <w:effect w:val="none"/>
        </w:rPr>
        <w:t>th 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Street, New York,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New York 10036, Attn: Investor Relations.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38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38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38"/>
          <w:u w:val="none"/>
          <w:effect w:val="none"/>
        </w:rPr>
        <w:t>NO INCORPORATION BY REFERENCE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In its filings with the SEC, the Company sometimes “incorporates by reference” certain information. This means that we are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referring you to information that has previously been filed with the SEC and the information should be considered as part of the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particular filing. As provided under SEC regulations, the “Report of the Audit Committee of the Board of Directors” and the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caps w:val="false"/>
          <w:smallCaps w:val="false"/>
          <w:u w:val="single"/>
        </w:rPr>
        <w:t>“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Report of the Compensation Committee of the Board of Directors” contained in this Proxy Statement specifically are not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incorporated by reference into any other filings with the SEC and shall not be deemed to be “soliciting material.”</w:t>
      </w:r>
    </w:p>
    <w:tbl>
      <w:tblPr>
        <w:tblW w:w="4982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4651"/>
        <w:gridCol w:w="331"/>
      </w:tblGrid>
      <w:tr>
        <w:trPr/>
        <w:tc>
          <w:tcPr>
            <w:tcW w:w="46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651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sz w:val="24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TAKE-TWO INTERACTIVE SOFTWARE, INC.   |   2026</w:t>
            </w:r>
            <w:r>
              <w:rPr>
                <w:caps w:val="false"/>
                <w:smallCaps w:val="false"/>
                <w:strike w:val="false"/>
                <w:dstrike w:val="false"/>
                <w:color w:val="18333C"/>
                <w:sz w:val="24"/>
                <w:u w:val="none"/>
                <w:effect w:val="none"/>
              </w:rPr>
              <w:t xml:space="preserve"> 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 xml:space="preserve">Proxy Statement </w:t>
            </w:r>
          </w:p>
        </w:tc>
        <w:tc>
          <w:tcPr>
            <w:tcW w:w="33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89</w:t>
            </w:r>
          </w:p>
        </w:tc>
      </w:tr>
    </w:tbl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38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38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38"/>
          <w:u w:val="none"/>
          <w:effect w:val="none"/>
        </w:rPr>
        <w:t xml:space="preserve">SHAREHOLDER PROPOSALS FOR NEXT </w:t>
      </w:r>
    </w:p>
    <w:p>
      <w:pPr>
        <w:pStyle w:val="TextBody"/>
        <w:bidi w:val="0"/>
        <w:spacing w:lineRule="atLeast" w:line="38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38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38"/>
          <w:u w:val="none"/>
          <w:effect w:val="none"/>
        </w:rPr>
        <w:t>ANNUAL MEETING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 xml:space="preserve">The Company currently anticipates holding its Annual Meeting of Shareholders for its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fiscal year ending March 31, 2027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, in</w:t>
      </w:r>
      <w:r>
        <w:rPr>
          <w:caps w:val="false"/>
          <w:smallCaps w:val="false"/>
          <w:sz w:val="24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 xml:space="preserve">September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2027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. The Company’s bylaws require that, for nominations of directors or other business to be properly brought</w:t>
      </w:r>
      <w:r>
        <w:rPr>
          <w:caps w:val="false"/>
          <w:smallCaps w:val="false"/>
          <w:sz w:val="24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before an Annual Meeting, written notice of such nomination or proposal for other business must be delivered to the Secretary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of the Company at the Company’s principal executive offices at Take-Two Interactive Software, Inc., 110 West 44th Street, New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York, New York 10036, Attn: Corporate Secretary. Such notice must contain certain information concerning the nominating or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proposing shareholder and, as applicable, certain information concerning the nominee and must be delivered by the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 xml:space="preserve">shareholder (who must be entitled to vote at the meeting), in the case of the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2027</w:t>
      </w:r>
      <w:r>
        <w:rPr>
          <w:caps w:val="false"/>
          <w:smallCaps w:val="false"/>
          <w:sz w:val="24"/>
          <w:u w:val="singl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Annual Meeting of Shareholders, no earlier</w:t>
      </w:r>
      <w:r>
        <w:rPr>
          <w:caps w:val="false"/>
          <w:smallCaps w:val="false"/>
          <w:sz w:val="24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 xml:space="preserve">than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May 20, 2027</w:t>
      </w:r>
      <w:r>
        <w:rPr>
          <w:caps w:val="false"/>
          <w:smallCaps w:val="false"/>
          <w:sz w:val="24"/>
          <w:u w:val="singl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 xml:space="preserve">and no later than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June 19, 2027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 xml:space="preserve">. Such notice must contain the information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required</w:t>
      </w:r>
      <w:r>
        <w:rPr>
          <w:caps w:val="false"/>
          <w:smallCaps w:val="false"/>
          <w:sz w:val="24"/>
          <w:u w:val="singl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by the Company’s</w:t>
      </w:r>
      <w:r>
        <w:rPr>
          <w:caps w:val="false"/>
          <w:smallCaps w:val="false"/>
          <w:sz w:val="24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bylaws, including the information required by Rule 14a-19 of the Exchange Act in the case of a shareholder who intends to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solicit proxies in compliance with such rule. A copy of the applicable provisions of the Bylaws may be obtained by any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shareholder, without charge, upon written request to the Secretary of the Company at the address set forth above.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In addition to the foregoing, and in accordance with the rules of the SEC, in order for a shareholder proposal, relating to a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proper subject, to be considered for inclusion in the Company’s proxy statement and form of proxy relating to the 2027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Annual</w:t>
      </w:r>
      <w:r>
        <w:rPr>
          <w:caps w:val="false"/>
          <w:smallCaps w:val="false"/>
          <w:strike w:val="false"/>
          <w:dstrike w:val="false"/>
          <w:sz w:val="24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Meeting of Shareholders, such proposal must be received by the Secretary of the Company at the address set forth above not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sz w:val="24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later than April 5, 2027</w:t>
      </w:r>
      <w:r>
        <w:rPr>
          <w:caps w:val="false"/>
          <w:smallCaps w:val="false"/>
          <w:sz w:val="24"/>
          <w:u w:val="singl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in the form required under and subject to the other requirements of the applicable rules of the SEC.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38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38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38"/>
          <w:u w:val="none"/>
          <w:effect w:val="none"/>
        </w:rPr>
        <w:t>OTHER MATTERS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The Board of Directors is aware of no other matter, except for those incident to the conduct of the Annual Meeting, that are to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be presented to shareholders for formal action at the Annual Meeting. If, however, any other matter properly comes before the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Annual Meeting or any adjournment thereof, it is the intention of the persons named in the proxy to vote the proxy in</w:t>
      </w:r>
      <w:r>
        <w:rPr>
          <w:caps w:val="false"/>
          <w:smallCaps w:val="false"/>
          <w:strike w:val="false"/>
          <w:dstrike w:val="false"/>
          <w:u w:val="none"/>
          <w:effect w:val="non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trike w:val="false"/>
          <w:dstrike w:val="false"/>
          <w:sz w:val="18"/>
          <w:u w:val="none"/>
          <w:effect w:val="none"/>
        </w:rPr>
        <w:t>accordance with their judgment.</w:t>
      </w:r>
    </w:p>
    <w:tbl>
      <w:tblPr>
        <w:tblW w:w="502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391"/>
        <w:gridCol w:w="4636"/>
      </w:tblGrid>
      <w:tr>
        <w:trPr/>
        <w:tc>
          <w:tcPr>
            <w:tcW w:w="3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3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9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A-1</w:t>
            </w:r>
          </w:p>
        </w:tc>
        <w:tc>
          <w:tcPr>
            <w:tcW w:w="4636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sz w:val="24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TAKE-TWO INTERACTIVE SOFTWARE, INC.   |   2026</w:t>
            </w:r>
            <w:r>
              <w:rPr>
                <w:caps w:val="false"/>
                <w:smallCaps w:val="false"/>
                <w:strike w:val="false"/>
                <w:dstrike w:val="false"/>
                <w:color w:val="18333C"/>
                <w:sz w:val="24"/>
                <w:u w:val="none"/>
                <w:effect w:val="none"/>
              </w:rPr>
              <w:t xml:space="preserve"> 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Proxy Statement</w:t>
            </w:r>
          </w:p>
        </w:tc>
      </w:tr>
    </w:tbl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38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38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38"/>
          <w:u w:val="none"/>
          <w:effect w:val="none"/>
        </w:rPr>
        <w:t>ANNEX A</w:t>
      </w:r>
    </w:p>
    <w:p>
      <w:pPr>
        <w:pStyle w:val="TextBody"/>
        <w:bidi w:val="0"/>
        <w:spacing w:lineRule="atLeast" w:line="24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sz w:val="24"/>
          <w:u w:val="none"/>
          <w:effect w:val="none"/>
        </w:rPr>
        <w:t>Reconciliation of GAAP Net Income to Adjusted EBITDA</w:t>
      </w:r>
    </w:p>
    <w:tbl>
      <w:tblPr>
        <w:tblW w:w="6811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5206"/>
        <w:gridCol w:w="196"/>
        <w:gridCol w:w="1409"/>
      </w:tblGrid>
      <w:tr>
        <w:trPr/>
        <w:tc>
          <w:tcPr>
            <w:tcW w:w="52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9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5206" w:type="dxa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(in millions)</w:t>
            </w:r>
          </w:p>
        </w:tc>
        <w:tc>
          <w:tcPr>
            <w:tcW w:w="1605" w:type="dxa"/>
            <w:gridSpan w:val="2"/>
            <w:tcBorders>
              <w:bottom w:val="single" w:sz="4" w:space="0" w:color="18333C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 xml:space="preserve">Fiscal Year Ended </w:t>
            </w:r>
          </w:p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March 31, 2026</w:t>
            </w:r>
          </w:p>
        </w:tc>
      </w:tr>
      <w:tr>
        <w:trPr/>
        <w:tc>
          <w:tcPr>
            <w:tcW w:w="5206" w:type="dxa"/>
            <w:tcBorders>
              <w:top w:val="single" w:sz="4" w:space="0" w:color="18333C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GAAP Net Loss</w:t>
            </w:r>
          </w:p>
        </w:tc>
        <w:tc>
          <w:tcPr>
            <w:tcW w:w="196" w:type="dxa"/>
            <w:tcBorders>
              <w:top w:val="single" w:sz="4" w:space="0" w:color="18333C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09" w:type="dxa"/>
            <w:tcBorders>
              <w:top w:val="single" w:sz="4" w:space="0" w:color="18333C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$(298.2)</w:t>
            </w:r>
          </w:p>
        </w:tc>
      </w:tr>
      <w:tr>
        <w:trPr/>
        <w:tc>
          <w:tcPr>
            <w:tcW w:w="520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Net effect from deferral in net revenues and related cost of goods sold</w:t>
            </w:r>
          </w:p>
        </w:tc>
        <w:tc>
          <w:tcPr>
            <w:tcW w:w="19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09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$68.0</w:t>
            </w:r>
          </w:p>
        </w:tc>
      </w:tr>
      <w:tr>
        <w:trPr/>
        <w:tc>
          <w:tcPr>
            <w:tcW w:w="520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Stock-based compensation</w:t>
            </w:r>
          </w:p>
        </w:tc>
        <w:tc>
          <w:tcPr>
            <w:tcW w:w="19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09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$305.3</w:t>
            </w:r>
          </w:p>
        </w:tc>
      </w:tr>
      <w:tr>
        <w:trPr/>
        <w:tc>
          <w:tcPr>
            <w:tcW w:w="520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Business reorganization</w:t>
            </w:r>
          </w:p>
        </w:tc>
        <w:tc>
          <w:tcPr>
            <w:tcW w:w="19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09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$(4.4)</w:t>
            </w:r>
          </w:p>
        </w:tc>
      </w:tr>
      <w:tr>
        <w:trPr/>
        <w:tc>
          <w:tcPr>
            <w:tcW w:w="520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Business acquisitions</w:t>
            </w:r>
          </w:p>
        </w:tc>
        <w:tc>
          <w:tcPr>
            <w:tcW w:w="19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09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$14.7</w:t>
            </w:r>
          </w:p>
        </w:tc>
      </w:tr>
      <w:tr>
        <w:trPr/>
        <w:tc>
          <w:tcPr>
            <w:tcW w:w="520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Interest expense (income)</w:t>
            </w:r>
          </w:p>
        </w:tc>
        <w:tc>
          <w:tcPr>
            <w:tcW w:w="19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09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$66.3</w:t>
            </w:r>
          </w:p>
        </w:tc>
      </w:tr>
      <w:tr>
        <w:trPr/>
        <w:tc>
          <w:tcPr>
            <w:tcW w:w="520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Depreciation and amortization</w:t>
            </w:r>
          </w:p>
        </w:tc>
        <w:tc>
          <w:tcPr>
            <w:tcW w:w="19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09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$198.5</w:t>
            </w:r>
          </w:p>
        </w:tc>
      </w:tr>
      <w:tr>
        <w:trPr/>
        <w:tc>
          <w:tcPr>
            <w:tcW w:w="520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Amortization and impairment of intangible assets</w:t>
            </w:r>
          </w:p>
        </w:tc>
        <w:tc>
          <w:tcPr>
            <w:tcW w:w="19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09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$693.6</w:t>
            </w:r>
          </w:p>
        </w:tc>
      </w:tr>
      <w:tr>
        <w:trPr/>
        <w:tc>
          <w:tcPr>
            <w:tcW w:w="520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Bonus</w:t>
            </w:r>
          </w:p>
        </w:tc>
        <w:tc>
          <w:tcPr>
            <w:tcW w:w="19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09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$247.8</w:t>
            </w:r>
          </w:p>
        </w:tc>
      </w:tr>
      <w:tr>
        <w:trPr/>
        <w:tc>
          <w:tcPr>
            <w:tcW w:w="520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Income taxes</w:t>
            </w:r>
          </w:p>
        </w:tc>
        <w:tc>
          <w:tcPr>
            <w:tcW w:w="196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09" w:type="dxa"/>
            <w:tcBorders>
              <w:top w:val="single" w:sz="2" w:space="0" w:color="8C8D8F"/>
              <w:bottom w:val="single" w:sz="2" w:space="0" w:color="8C8D8F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$100.4</w:t>
            </w:r>
          </w:p>
        </w:tc>
      </w:tr>
      <w:tr>
        <w:trPr/>
        <w:tc>
          <w:tcPr>
            <w:tcW w:w="5206" w:type="dxa"/>
            <w:tcBorders>
              <w:top w:val="single" w:sz="2" w:space="0" w:color="8C8D8F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Other</w:t>
            </w:r>
          </w:p>
        </w:tc>
        <w:tc>
          <w:tcPr>
            <w:tcW w:w="196" w:type="dxa"/>
            <w:tcBorders>
              <w:top w:val="single" w:sz="2" w:space="0" w:color="8C8D8F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09" w:type="dxa"/>
            <w:tcBorders>
              <w:top w:val="single" w:sz="2" w:space="0" w:color="8C8D8F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$9.6</w:t>
            </w:r>
          </w:p>
        </w:tc>
      </w:tr>
      <w:tr>
        <w:trPr/>
        <w:tc>
          <w:tcPr>
            <w:tcW w:w="5206" w:type="dxa"/>
            <w:tcBorders>
              <w:top w:val="single" w:sz="4" w:space="0" w:color="18333C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Adjusted EBITDA</w:t>
            </w:r>
          </w:p>
        </w:tc>
        <w:tc>
          <w:tcPr>
            <w:tcW w:w="196" w:type="dxa"/>
            <w:tcBorders>
              <w:top w:val="single" w:sz="4" w:space="0" w:color="18333C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409" w:type="dxa"/>
            <w:tcBorders>
              <w:top w:val="single" w:sz="4" w:space="0" w:color="18333C"/>
              <w:bottom w:val="single" w:sz="4" w:space="0" w:color="18333C"/>
            </w:tcBorders>
            <w:tcMar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tLeast" w:line="17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z w:val="17"/>
                <w:u w:val="none"/>
                <w:effect w:val="none"/>
              </w:rPr>
              <w:t>$1,401.6</w:t>
            </w:r>
          </w:p>
        </w:tc>
      </w:tr>
    </w:tbl>
    <w:tbl>
      <w:tblPr>
        <w:tblW w:w="5072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4651"/>
        <w:gridCol w:w="421"/>
      </w:tblGrid>
      <w:tr>
        <w:trPr/>
        <w:tc>
          <w:tcPr>
            <w:tcW w:w="465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2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651" w:type="dxa"/>
            <w:tcBorders/>
            <w:vAlign w:val="center"/>
          </w:tcPr>
          <w:p>
            <w:pPr>
              <w:pStyle w:val="TableContents"/>
              <w:bidi w:val="0"/>
              <w:spacing w:lineRule="atLeast" w:line="142" w:before="0" w:after="0"/>
              <w:jc w:val="left"/>
              <w:rPr>
                <w:sz w:val="24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>TAKE-TWO INTERACTIVE SOFTWARE, INC.   |   2026</w:t>
            </w:r>
            <w:r>
              <w:rPr>
                <w:caps w:val="false"/>
                <w:smallCaps w:val="false"/>
                <w:strike w:val="false"/>
                <w:dstrike w:val="false"/>
                <w:color w:val="18333C"/>
                <w:sz w:val="24"/>
                <w:u w:val="none"/>
                <w:effect w:val="none"/>
              </w:rPr>
              <w:t xml:space="preserve"> </w:t>
            </w: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4"/>
                <w:u w:val="none"/>
                <w:effect w:val="none"/>
              </w:rPr>
              <w:t xml:space="preserve">Proxy Statement </w:t>
            </w:r>
          </w:p>
        </w:tc>
        <w:tc>
          <w:tcPr>
            <w:tcW w:w="421" w:type="dxa"/>
            <w:tcBorders/>
            <w:vAlign w:val="center"/>
          </w:tcPr>
          <w:p>
            <w:pPr>
              <w:pStyle w:val="TableContents"/>
              <w:bidi w:val="0"/>
              <w:spacing w:lineRule="atLeast" w:line="160" w:before="0" w:after="0"/>
              <w:jc w:val="left"/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</w:pPr>
            <w:r>
              <w:rPr>
                <w:rFonts w:ascii="Arial;sans-serif" w:hAnsi="Arial;sans-serif"/>
                <w:b/>
                <w:i w:val="false"/>
                <w:caps w:val="false"/>
                <w:smallCaps w:val="false"/>
                <w:strike w:val="false"/>
                <w:dstrike w:val="false"/>
                <w:color w:val="18333C"/>
                <w:sz w:val="16"/>
                <w:u w:val="none"/>
                <w:effect w:val="none"/>
              </w:rPr>
              <w:t>B-1</w:t>
            </w:r>
          </w:p>
        </w:tc>
      </w:tr>
    </w:tbl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lineRule="atLeast" w:line="38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38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38"/>
          <w:u w:val="none"/>
          <w:effect w:val="none"/>
        </w:rPr>
        <w:t>ANNEX B</w:t>
      </w:r>
    </w:p>
    <w:p>
      <w:pPr>
        <w:pStyle w:val="TextBody"/>
        <w:bidi w:val="0"/>
        <w:spacing w:lineRule="atLeast" w:line="19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9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9"/>
          <w:u w:val="none"/>
          <w:effect w:val="none"/>
        </w:rPr>
        <w:t>CERTIFICATE OF AMENDMENT</w:t>
      </w:r>
    </w:p>
    <w:p>
      <w:pPr>
        <w:pStyle w:val="TextBody"/>
        <w:bidi w:val="0"/>
        <w:spacing w:lineRule="atLeast" w:line="19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9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9"/>
          <w:u w:val="none"/>
          <w:effect w:val="none"/>
        </w:rPr>
        <w:t>OF</w:t>
      </w:r>
    </w:p>
    <w:p>
      <w:pPr>
        <w:pStyle w:val="TextBody"/>
        <w:bidi w:val="0"/>
        <w:spacing w:lineRule="atLeast" w:line="19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9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9"/>
          <w:u w:val="none"/>
          <w:effect w:val="none"/>
        </w:rPr>
        <w:t>RESTATED CERTIFICATE OF INCORPORATION</w:t>
      </w:r>
    </w:p>
    <w:p>
      <w:pPr>
        <w:pStyle w:val="TextBody"/>
        <w:bidi w:val="0"/>
        <w:spacing w:lineRule="atLeast" w:line="19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9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9"/>
          <w:u w:val="none"/>
          <w:effect w:val="none"/>
        </w:rPr>
        <w:t>OF</w:t>
      </w:r>
    </w:p>
    <w:p>
      <w:pPr>
        <w:pStyle w:val="TextBody"/>
        <w:bidi w:val="0"/>
        <w:spacing w:lineRule="atLeast" w:line="19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9"/>
          <w:u w:val="none"/>
          <w:effect w:val="none"/>
        </w:rPr>
      </w:pPr>
      <w:r>
        <w:rPr>
          <w:rFonts w:ascii="Arial;sans-serif" w:hAnsi="Arial;sans-serif"/>
          <w:b/>
          <w:i w:val="false"/>
          <w:caps w:val="false"/>
          <w:smallCaps w:val="false"/>
          <w:strike w:val="false"/>
          <w:dstrike w:val="false"/>
          <w:color w:val="18333C"/>
          <w:sz w:val="19"/>
          <w:u w:val="none"/>
          <w:effect w:val="none"/>
        </w:rPr>
        <w:t>TAKE-TWO INTERACTIVE SOFTWARE, INC.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The corporation organized and existing under and by virtue of the General Corporation Law of the State of Delaware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does hereby certify: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/>
          <w:i w:val="false"/>
          <w:caps w:val="false"/>
          <w:smallCaps w:val="false"/>
          <w:sz w:val="18"/>
          <w:u w:val="single"/>
        </w:rPr>
        <w:t>FIRST:</w:t>
      </w:r>
      <w:r>
        <w:rPr>
          <w:caps w:val="false"/>
          <w:smallCaps w:val="false"/>
          <w:u w:val="singl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That at a meeting of the Board of Directors of Take-Two Interactive Software, Inc. resolutions were duly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adopted setting forth a proposed amendment of the Certificate of Incorporation of said corporation, declaring said amendment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to be advisable and calling a meeting of the stockholders of said corporation for consideration thereof. The resolution setting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forth the proposed amendment is as follows: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/>
          <w:i w:val="false"/>
          <w:caps w:val="false"/>
          <w:smallCaps w:val="false"/>
          <w:sz w:val="18"/>
          <w:u w:val="single"/>
        </w:rPr>
        <w:t>RESOLVED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, that the Restated Certificate of Incorporation of this corporation be amended by deleting all of the text in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Article VI and replacing it with the following in substitution therefor: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/>
          <w:i w:val="false"/>
          <w:caps w:val="false"/>
          <w:smallCaps w:val="false"/>
          <w:sz w:val="18"/>
          <w:u w:val="single"/>
        </w:rPr>
        <w:t>Limited Liability of Directors and Officers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. To the fullest extent permitted by law as the same exists or as may hereafter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be amended, no director or officer of the Corporation shall be personally liable to the Corporation or its stockholders for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monetary damages for breach of fiduciary duty as a director or officer, as applicable. For purposes of this Section 9.1,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caps w:val="false"/>
          <w:smallCaps w:val="false"/>
          <w:u w:val="single"/>
        </w:rPr>
        <w:t>“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officer” shall have the meaning provided in Section 102(b)(7) of the DGCL, as it presently exists or may hereafter be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amended from time to time. If the DGCL is amended to authorize corporate action further eliminating or limiting the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personal liability of directors or officers, then the liability of such director or officer of the Corporation shall be eliminated or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limited to the fullest extent permitted by the DGCL, as so amended. Neither the amendment nor the repeal of this Article VI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shall eliminate, reduce or otherwise adversely affect any limitation on the personal liability of a director or officer of the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Corporation existing prior to such amendment or repeal.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/>
          <w:i w:val="false"/>
          <w:caps w:val="false"/>
          <w:smallCaps w:val="false"/>
          <w:sz w:val="18"/>
          <w:u w:val="single"/>
        </w:rPr>
        <w:t>SECOND:</w:t>
      </w:r>
      <w:r>
        <w:rPr>
          <w:caps w:val="false"/>
          <w:smallCaps w:val="false"/>
          <w:u w:val="singl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That thereafter an annual meeting of the stockholders of said corporation was duly called and held upon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notice in accordance with Section 222 of the General Corporation Law of the State of Delaware at which meeting the necessary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number of shares as required by statute were voted in favor of the amendment.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/>
          <w:i w:val="false"/>
          <w:caps w:val="false"/>
          <w:smallCaps w:val="false"/>
          <w:sz w:val="18"/>
          <w:u w:val="single"/>
        </w:rPr>
        <w:t>THIRD:</w:t>
      </w:r>
      <w:r>
        <w:rPr>
          <w:caps w:val="false"/>
          <w:smallCaps w:val="false"/>
          <w:u w:val="single"/>
        </w:rPr>
        <w:t xml:space="preserve"> 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That said amendment was duly adopted in accordance with the provisions of Section 242 of the General</w:t>
      </w:r>
      <w:r>
        <w:rPr>
          <w:caps w:val="false"/>
          <w:smallCaps w:val="false"/>
          <w:u w:val="single"/>
        </w:rPr>
        <w:t xml:space="preserve"> </w:t>
      </w:r>
    </w:p>
    <w:p>
      <w:pPr>
        <w:pStyle w:val="TextBody"/>
        <w:bidi w:val="0"/>
        <w:spacing w:lineRule="atLeast" w:line="180" w:before="0" w:after="0"/>
        <w:jc w:val="both"/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Corporation Law of the State of Delaware.</w:t>
      </w:r>
    </w:p>
    <w:p>
      <w:pPr>
        <w:pStyle w:val="TextBody"/>
        <w:bidi w:val="0"/>
        <w:spacing w:lineRule="atLeast" w:line="180" w:before="0" w:after="0"/>
        <w:jc w:val="both"/>
        <w:rPr>
          <w:u w:val="single"/>
        </w:rPr>
      </w:pPr>
      <w:r>
        <w:rPr>
          <w:rFonts w:ascii="Arial;sans-serif" w:hAnsi="Arial;sans-serif"/>
          <w:b/>
          <w:i w:val="false"/>
          <w:caps w:val="false"/>
          <w:smallCaps w:val="false"/>
          <w:sz w:val="18"/>
          <w:u w:val="single"/>
        </w:rPr>
        <w:t>IN WITNESS WHEREOF</w:t>
      </w:r>
      <w:r>
        <w:rPr>
          <w:rFonts w:ascii="Arial;sans-serif" w:hAnsi="Arial;sans-serif"/>
          <w:b w:val="false"/>
          <w:i w:val="false"/>
          <w:caps w:val="false"/>
          <w:smallCaps w:val="false"/>
          <w:sz w:val="18"/>
          <w:u w:val="single"/>
        </w:rPr>
        <w:t>, said corporation has caused this certificate to be signed this [●] day of [●], 2026.</w:t>
      </w:r>
    </w:p>
    <w:p>
      <w:pPr>
        <w:pStyle w:val="TextBody"/>
        <w:bidi w:val="0"/>
        <w:spacing w:lineRule="atLeast" w:line="200" w:before="0" w:after="0"/>
        <w:jc w:val="left"/>
        <w:rPr>
          <w:rFonts w:ascii="Arial;sans-serif" w:hAnsi="Arial;sans-serif"/>
          <w:b/>
          <w:i w:val="false"/>
          <w:caps w:val="false"/>
          <w:smallCaps w:val="false"/>
          <w:sz w:val="20"/>
        </w:rPr>
      </w:pPr>
      <w:r>
        <w:rPr>
          <w:rFonts w:ascii="Arial;sans-serif" w:hAnsi="Arial;sans-serif"/>
          <w:b/>
          <w:i w:val="false"/>
          <w:caps w:val="false"/>
          <w:smallCaps w:val="false"/>
          <w:sz w:val="20"/>
        </w:rPr>
        <w:t>TAKE-TWO INTERACTIVE SOFTWARE, INC.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>By: ______________________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Name: </w:t>
      </w:r>
    </w:p>
    <w:p>
      <w:pPr>
        <w:pStyle w:val="TextBody"/>
        <w:bidi w:val="0"/>
        <w:spacing w:lineRule="atLeast" w:line="180" w:before="0" w:after="0"/>
        <w:jc w:val="left"/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</w:pPr>
      <w:r>
        <w:rPr>
          <w:rFonts w:ascii="Arial;sans-serif" w:hAnsi="Arial;sans-serif"/>
          <w:b w:val="false"/>
          <w:i w:val="false"/>
          <w:caps w:val="false"/>
          <w:smallCaps w:val="false"/>
          <w:sz w:val="18"/>
        </w:rPr>
        <w:t xml:space="preserve">Title: </w:t>
      </w:r>
    </w:p>
    <w:p>
      <w:pPr>
        <w:pStyle w:val="TextBody"/>
        <w:bidi w:val="0"/>
        <w:spacing w:before="0" w:after="0"/>
        <w:jc w:val="left"/>
        <w:rPr/>
      </w:pPr>
      <w:r>
        <w:rPr/>
        <w:drawing>
          <wp:inline distT="0" distB="0" distL="0" distR="0">
            <wp:extent cx="128905" cy="2743200"/>
            <wp:effectExtent l="0" t="0" r="0" b="0"/>
            <wp:docPr id="294" name="Image29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4" name="Image294" descr=""/>
                    <pic:cNvPicPr>
                      <a:picLocks noChangeAspect="1" noChangeArrowheads="1"/>
                    </pic:cNvPicPr>
                  </pic:nvPicPr>
                  <pic:blipFill>
                    <a:blip r:embed="rId29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2743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299" w:name="i-294"/>
      <w:bookmarkEnd w:id="299"/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both"/>
        <w:rPr>
          <w:u w:val="single"/>
        </w:rPr>
      </w:pPr>
      <w:r>
        <w:rPr>
          <w:u w:val="single"/>
        </w:rPr>
        <w:drawing>
          <wp:inline distT="0" distB="0" distL="0" distR="0">
            <wp:extent cx="7543800" cy="9829800"/>
            <wp:effectExtent l="0" t="0" r="0" b="0"/>
            <wp:docPr id="295" name="Image29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5" name="Image295" descr=""/>
                    <pic:cNvPicPr>
                      <a:picLocks noChangeAspect="1" noChangeArrowheads="1"/>
                    </pic:cNvPicPr>
                  </pic:nvPicPr>
                  <pic:blipFill>
                    <a:blip r:embed="rId29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0" cy="9829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300" w:name="i-295"/>
      <w:bookmarkEnd w:id="300"/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  <w:drawing>
          <wp:inline distT="0" distB="0" distL="0" distR="0">
            <wp:extent cx="7543800" cy="9762490"/>
            <wp:effectExtent l="0" t="0" r="0" b="0"/>
            <wp:docPr id="296" name="Image296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6" name="Image296" descr=""/>
                    <pic:cNvPicPr>
                      <a:picLocks noChangeAspect="1" noChangeArrowheads="1"/>
                    </pic:cNvPicPr>
                  </pic:nvPicPr>
                  <pic:blipFill>
                    <a:blip r:embed="rId29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0" cy="97624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301" w:name="i-296"/>
      <w:bookmarkEnd w:id="301"/>
    </w:p>
    <w:p>
      <w:pPr>
        <w:pStyle w:val="TextBody"/>
        <w:bidi w:val="0"/>
        <w:spacing w:before="0" w:after="283"/>
        <w:jc w:val="left"/>
        <w:rPr/>
      </w:pPr>
      <w:r>
        <w:rPr/>
        <w:drawing>
          <wp:inline distT="0" distB="0" distL="0" distR="0">
            <wp:extent cx="7543800" cy="9762490"/>
            <wp:effectExtent l="0" t="0" r="0" b="0"/>
            <wp:docPr id="297" name="Image297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7" name="Image297" descr=""/>
                    <pic:cNvPicPr>
                      <a:picLocks noChangeAspect="1" noChangeArrowheads="1"/>
                    </pic:cNvPicPr>
                  </pic:nvPicPr>
                  <pic:blipFill>
                    <a:blip r:embed="rId29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0" cy="97624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302" w:name="i-297"/>
      <w:bookmarkEnd w:id="302"/>
    </w:p>
    <w:sectPr>
      <w:type w:val="continuous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sans-serif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jpeg"/><Relationship Id="rId4" Type="http://schemas.openxmlformats.org/officeDocument/2006/relationships/image" Target="media/image2.jpeg"/><Relationship Id="rId5" Type="http://schemas.openxmlformats.org/officeDocument/2006/relationships/image" Target="media/image2.jpeg"/><Relationship Id="rId6" Type="http://schemas.openxmlformats.org/officeDocument/2006/relationships/image" Target="media/image1.jpeg"/><Relationship Id="rId7" Type="http://schemas.openxmlformats.org/officeDocument/2006/relationships/image" Target="media/image2.jpeg"/><Relationship Id="rId8" Type="http://schemas.openxmlformats.org/officeDocument/2006/relationships/image" Target="media/image2.jpeg"/><Relationship Id="rId9" Type="http://schemas.openxmlformats.org/officeDocument/2006/relationships/image" Target="media/image3.jpeg"/><Relationship Id="rId10" Type="http://schemas.openxmlformats.org/officeDocument/2006/relationships/image" Target="media/image1.jpeg"/><Relationship Id="rId11" Type="http://schemas.openxmlformats.org/officeDocument/2006/relationships/image" Target="media/image2.jpeg"/><Relationship Id="rId12" Type="http://schemas.openxmlformats.org/officeDocument/2006/relationships/image" Target="media/image2.jpeg"/><Relationship Id="rId13" Type="http://schemas.openxmlformats.org/officeDocument/2006/relationships/image" Target="media/image4.jpeg"/><Relationship Id="rId14" Type="http://schemas.openxmlformats.org/officeDocument/2006/relationships/image" Target="media/image5.jpeg"/><Relationship Id="rId15" Type="http://schemas.openxmlformats.org/officeDocument/2006/relationships/image" Target="media/image6.jpeg"/><Relationship Id="rId16" Type="http://schemas.openxmlformats.org/officeDocument/2006/relationships/image" Target="media/image7.jpeg"/><Relationship Id="rId17" Type="http://schemas.openxmlformats.org/officeDocument/2006/relationships/image" Target="media/image8.jpeg"/><Relationship Id="rId18" Type="http://schemas.openxmlformats.org/officeDocument/2006/relationships/image" Target="media/image9.jpeg"/><Relationship Id="rId19" Type="http://schemas.openxmlformats.org/officeDocument/2006/relationships/image" Target="media/image10.jpeg"/><Relationship Id="rId20" Type="http://schemas.openxmlformats.org/officeDocument/2006/relationships/image" Target="media/image11.jpeg"/><Relationship Id="rId21" Type="http://schemas.openxmlformats.org/officeDocument/2006/relationships/image" Target="media/image12.jpeg"/><Relationship Id="rId22" Type="http://schemas.openxmlformats.org/officeDocument/2006/relationships/image" Target="media/image13.jpeg"/><Relationship Id="rId23" Type="http://schemas.openxmlformats.org/officeDocument/2006/relationships/image" Target="media/image14.jpeg"/><Relationship Id="rId24" Type="http://schemas.openxmlformats.org/officeDocument/2006/relationships/image" Target="media/image15.jpeg"/><Relationship Id="rId25" Type="http://schemas.openxmlformats.org/officeDocument/2006/relationships/image" Target="media/image16.jpeg"/><Relationship Id="rId26" Type="http://schemas.openxmlformats.org/officeDocument/2006/relationships/image" Target="media/image17.jpeg"/><Relationship Id="rId27" Type="http://schemas.openxmlformats.org/officeDocument/2006/relationships/image" Target="media/image18.jpeg"/><Relationship Id="rId28" Type="http://schemas.openxmlformats.org/officeDocument/2006/relationships/image" Target="media/image19.jpeg"/><Relationship Id="rId29" Type="http://schemas.openxmlformats.org/officeDocument/2006/relationships/image" Target="media/image20.jpeg"/><Relationship Id="rId30" Type="http://schemas.openxmlformats.org/officeDocument/2006/relationships/image" Target="media/image21.jpeg"/><Relationship Id="rId31" Type="http://schemas.openxmlformats.org/officeDocument/2006/relationships/image" Target="media/image22.jpeg"/><Relationship Id="rId32" Type="http://schemas.openxmlformats.org/officeDocument/2006/relationships/image" Target="media/image22.jpeg"/><Relationship Id="rId33" Type="http://schemas.openxmlformats.org/officeDocument/2006/relationships/image" Target="media/image22.jpeg"/><Relationship Id="rId34" Type="http://schemas.openxmlformats.org/officeDocument/2006/relationships/image" Target="media/image22.jpeg"/><Relationship Id="rId35" Type="http://schemas.openxmlformats.org/officeDocument/2006/relationships/image" Target="media/image22.jpeg"/><Relationship Id="rId36" Type="http://schemas.openxmlformats.org/officeDocument/2006/relationships/image" Target="media/image22.jpeg"/><Relationship Id="rId37" Type="http://schemas.openxmlformats.org/officeDocument/2006/relationships/image" Target="media/image22.jpeg"/><Relationship Id="rId38" Type="http://schemas.openxmlformats.org/officeDocument/2006/relationships/image" Target="media/image22.jpeg"/><Relationship Id="rId39" Type="http://schemas.openxmlformats.org/officeDocument/2006/relationships/image" Target="media/image22.jpeg"/><Relationship Id="rId40" Type="http://schemas.openxmlformats.org/officeDocument/2006/relationships/image" Target="media/image23.jpeg"/><Relationship Id="rId41" Type="http://schemas.openxmlformats.org/officeDocument/2006/relationships/image" Target="media/image24.jpeg"/><Relationship Id="rId42" Type="http://schemas.openxmlformats.org/officeDocument/2006/relationships/image" Target="media/image23.jpeg"/><Relationship Id="rId43" Type="http://schemas.openxmlformats.org/officeDocument/2006/relationships/image" Target="media/image25.jpeg"/><Relationship Id="rId44" Type="http://schemas.openxmlformats.org/officeDocument/2006/relationships/image" Target="media/image25.jpeg"/><Relationship Id="rId45" Type="http://schemas.openxmlformats.org/officeDocument/2006/relationships/image" Target="media/image23.jpeg"/><Relationship Id="rId46" Type="http://schemas.openxmlformats.org/officeDocument/2006/relationships/image" Target="media/image26.jpeg"/><Relationship Id="rId47" Type="http://schemas.openxmlformats.org/officeDocument/2006/relationships/image" Target="media/image23.jpeg"/><Relationship Id="rId48" Type="http://schemas.openxmlformats.org/officeDocument/2006/relationships/image" Target="media/image25.jpeg"/><Relationship Id="rId49" Type="http://schemas.openxmlformats.org/officeDocument/2006/relationships/image" Target="media/image27.jpeg"/><Relationship Id="rId50" Type="http://schemas.openxmlformats.org/officeDocument/2006/relationships/image" Target="media/image23.jpeg"/><Relationship Id="rId51" Type="http://schemas.openxmlformats.org/officeDocument/2006/relationships/image" Target="media/image26.jpeg"/><Relationship Id="rId52" Type="http://schemas.openxmlformats.org/officeDocument/2006/relationships/image" Target="media/image27.jpeg"/><Relationship Id="rId53" Type="http://schemas.openxmlformats.org/officeDocument/2006/relationships/image" Target="media/image23.jpeg"/><Relationship Id="rId54" Type="http://schemas.openxmlformats.org/officeDocument/2006/relationships/image" Target="media/image24.jpeg"/><Relationship Id="rId55" Type="http://schemas.openxmlformats.org/officeDocument/2006/relationships/image" Target="media/image23.jpeg"/><Relationship Id="rId56" Type="http://schemas.openxmlformats.org/officeDocument/2006/relationships/image" Target="media/image26.jpeg"/><Relationship Id="rId57" Type="http://schemas.openxmlformats.org/officeDocument/2006/relationships/image" Target="media/image26.jpeg"/><Relationship Id="rId58" Type="http://schemas.openxmlformats.org/officeDocument/2006/relationships/image" Target="media/image23.jpeg"/><Relationship Id="rId59" Type="http://schemas.openxmlformats.org/officeDocument/2006/relationships/image" Target="media/image27.jpeg"/><Relationship Id="rId60" Type="http://schemas.openxmlformats.org/officeDocument/2006/relationships/image" Target="media/image26.jpeg"/><Relationship Id="rId61" Type="http://schemas.openxmlformats.org/officeDocument/2006/relationships/image" Target="media/image23.jpeg"/><Relationship Id="rId62" Type="http://schemas.openxmlformats.org/officeDocument/2006/relationships/image" Target="media/image26.jpeg"/><Relationship Id="rId63" Type="http://schemas.openxmlformats.org/officeDocument/2006/relationships/image" Target="media/image25.jpeg"/><Relationship Id="rId64" Type="http://schemas.openxmlformats.org/officeDocument/2006/relationships/image" Target="media/image28.jpeg"/><Relationship Id="rId65" Type="http://schemas.openxmlformats.org/officeDocument/2006/relationships/image" Target="media/image24.jpeg"/><Relationship Id="rId66" Type="http://schemas.openxmlformats.org/officeDocument/2006/relationships/image" Target="media/image29.jpeg"/><Relationship Id="rId67" Type="http://schemas.openxmlformats.org/officeDocument/2006/relationships/image" Target="media/image22.jpeg"/><Relationship Id="rId68" Type="http://schemas.openxmlformats.org/officeDocument/2006/relationships/image" Target="media/image22.jpeg"/><Relationship Id="rId69" Type="http://schemas.openxmlformats.org/officeDocument/2006/relationships/image" Target="media/image22.jpeg"/><Relationship Id="rId70" Type="http://schemas.openxmlformats.org/officeDocument/2006/relationships/image" Target="media/image22.jpeg"/><Relationship Id="rId71" Type="http://schemas.openxmlformats.org/officeDocument/2006/relationships/image" Target="media/image22.jpeg"/><Relationship Id="rId72" Type="http://schemas.openxmlformats.org/officeDocument/2006/relationships/image" Target="media/image22.jpeg"/><Relationship Id="rId73" Type="http://schemas.openxmlformats.org/officeDocument/2006/relationships/image" Target="media/image22.jpeg"/><Relationship Id="rId74" Type="http://schemas.openxmlformats.org/officeDocument/2006/relationships/image" Target="media/image22.jpeg"/><Relationship Id="rId75" Type="http://schemas.openxmlformats.org/officeDocument/2006/relationships/image" Target="media/image22.jpeg"/><Relationship Id="rId76" Type="http://schemas.openxmlformats.org/officeDocument/2006/relationships/image" Target="media/image22.jpeg"/><Relationship Id="rId77" Type="http://schemas.openxmlformats.org/officeDocument/2006/relationships/image" Target="media/image22.jpeg"/><Relationship Id="rId78" Type="http://schemas.openxmlformats.org/officeDocument/2006/relationships/image" Target="media/image22.jpeg"/><Relationship Id="rId79" Type="http://schemas.openxmlformats.org/officeDocument/2006/relationships/image" Target="media/image22.jpeg"/><Relationship Id="rId80" Type="http://schemas.openxmlformats.org/officeDocument/2006/relationships/image" Target="media/image22.jpeg"/><Relationship Id="rId81" Type="http://schemas.openxmlformats.org/officeDocument/2006/relationships/image" Target="media/image30.jpeg"/><Relationship Id="rId82" Type="http://schemas.openxmlformats.org/officeDocument/2006/relationships/image" Target="media/image31.jpeg"/><Relationship Id="rId83" Type="http://schemas.openxmlformats.org/officeDocument/2006/relationships/image" Target="media/image29.jpeg"/><Relationship Id="rId84" Type="http://schemas.openxmlformats.org/officeDocument/2006/relationships/image" Target="media/image22.jpeg"/><Relationship Id="rId85" Type="http://schemas.openxmlformats.org/officeDocument/2006/relationships/image" Target="media/image22.jpeg"/><Relationship Id="rId86" Type="http://schemas.openxmlformats.org/officeDocument/2006/relationships/image" Target="media/image22.jpeg"/><Relationship Id="rId87" Type="http://schemas.openxmlformats.org/officeDocument/2006/relationships/image" Target="media/image22.jpeg"/><Relationship Id="rId88" Type="http://schemas.openxmlformats.org/officeDocument/2006/relationships/image" Target="media/image22.jpeg"/><Relationship Id="rId89" Type="http://schemas.openxmlformats.org/officeDocument/2006/relationships/image" Target="media/image22.jpeg"/><Relationship Id="rId90" Type="http://schemas.openxmlformats.org/officeDocument/2006/relationships/image" Target="media/image22.jpeg"/><Relationship Id="rId91" Type="http://schemas.openxmlformats.org/officeDocument/2006/relationships/image" Target="media/image22.jpeg"/><Relationship Id="rId92" Type="http://schemas.openxmlformats.org/officeDocument/2006/relationships/image" Target="media/image22.jpeg"/><Relationship Id="rId93" Type="http://schemas.openxmlformats.org/officeDocument/2006/relationships/image" Target="media/image22.jpeg"/><Relationship Id="rId94" Type="http://schemas.openxmlformats.org/officeDocument/2006/relationships/image" Target="media/image22.jpeg"/><Relationship Id="rId95" Type="http://schemas.openxmlformats.org/officeDocument/2006/relationships/image" Target="media/image22.jpeg"/><Relationship Id="rId96" Type="http://schemas.openxmlformats.org/officeDocument/2006/relationships/image" Target="media/image32.jpeg"/><Relationship Id="rId97" Type="http://schemas.openxmlformats.org/officeDocument/2006/relationships/image" Target="media/image33.jpeg"/><Relationship Id="rId98" Type="http://schemas.openxmlformats.org/officeDocument/2006/relationships/image" Target="media/image34.jpeg"/><Relationship Id="rId99" Type="http://schemas.openxmlformats.org/officeDocument/2006/relationships/image" Target="media/image35.jpeg"/><Relationship Id="rId100" Type="http://schemas.openxmlformats.org/officeDocument/2006/relationships/image" Target="media/image36.jpeg"/><Relationship Id="rId101" Type="http://schemas.openxmlformats.org/officeDocument/2006/relationships/image" Target="media/image37.jpeg"/><Relationship Id="rId102" Type="http://schemas.openxmlformats.org/officeDocument/2006/relationships/image" Target="media/image38.jpeg"/><Relationship Id="rId103" Type="http://schemas.openxmlformats.org/officeDocument/2006/relationships/image" Target="media/image39.jpeg"/><Relationship Id="rId104" Type="http://schemas.openxmlformats.org/officeDocument/2006/relationships/image" Target="media/image40.jpeg"/><Relationship Id="rId105" Type="http://schemas.openxmlformats.org/officeDocument/2006/relationships/image" Target="media/image41.jpeg"/><Relationship Id="rId106" Type="http://schemas.openxmlformats.org/officeDocument/2006/relationships/image" Target="media/image42.jpeg"/><Relationship Id="rId107" Type="http://schemas.openxmlformats.org/officeDocument/2006/relationships/image" Target="media/image43.jpeg"/><Relationship Id="rId108" Type="http://schemas.openxmlformats.org/officeDocument/2006/relationships/image" Target="media/image44.jpeg"/><Relationship Id="rId109" Type="http://schemas.openxmlformats.org/officeDocument/2006/relationships/image" Target="media/image45.jpeg"/><Relationship Id="rId110" Type="http://schemas.openxmlformats.org/officeDocument/2006/relationships/image" Target="media/image46.jpeg"/><Relationship Id="rId111" Type="http://schemas.openxmlformats.org/officeDocument/2006/relationships/image" Target="media/image47.jpeg"/><Relationship Id="rId112" Type="http://schemas.openxmlformats.org/officeDocument/2006/relationships/image" Target="media/image48.jpeg"/><Relationship Id="rId113" Type="http://schemas.openxmlformats.org/officeDocument/2006/relationships/image" Target="media/image49.jpeg"/><Relationship Id="rId114" Type="http://schemas.openxmlformats.org/officeDocument/2006/relationships/image" Target="media/image50.jpeg"/><Relationship Id="rId115" Type="http://schemas.openxmlformats.org/officeDocument/2006/relationships/image" Target="media/image51.jpeg"/><Relationship Id="rId116" Type="http://schemas.openxmlformats.org/officeDocument/2006/relationships/image" Target="media/image52.jpeg"/><Relationship Id="rId117" Type="http://schemas.openxmlformats.org/officeDocument/2006/relationships/image" Target="media/image52.jpeg"/><Relationship Id="rId118" Type="http://schemas.openxmlformats.org/officeDocument/2006/relationships/image" Target="media/image52.jpeg"/><Relationship Id="rId119" Type="http://schemas.openxmlformats.org/officeDocument/2006/relationships/image" Target="media/image52.jpeg"/><Relationship Id="rId120" Type="http://schemas.openxmlformats.org/officeDocument/2006/relationships/image" Target="media/image52.jpeg"/><Relationship Id="rId121" Type="http://schemas.openxmlformats.org/officeDocument/2006/relationships/image" Target="media/image52.jpeg"/><Relationship Id="rId122" Type="http://schemas.openxmlformats.org/officeDocument/2006/relationships/image" Target="media/image52.jpeg"/><Relationship Id="rId123" Type="http://schemas.openxmlformats.org/officeDocument/2006/relationships/image" Target="media/image52.jpeg"/><Relationship Id="rId124" Type="http://schemas.openxmlformats.org/officeDocument/2006/relationships/image" Target="media/image52.jpeg"/><Relationship Id="rId125" Type="http://schemas.openxmlformats.org/officeDocument/2006/relationships/image" Target="media/image52.jpeg"/><Relationship Id="rId126" Type="http://schemas.openxmlformats.org/officeDocument/2006/relationships/image" Target="media/image52.jpeg"/><Relationship Id="rId127" Type="http://schemas.openxmlformats.org/officeDocument/2006/relationships/image" Target="media/image52.jpeg"/><Relationship Id="rId128" Type="http://schemas.openxmlformats.org/officeDocument/2006/relationships/image" Target="media/image52.jpeg"/><Relationship Id="rId129" Type="http://schemas.openxmlformats.org/officeDocument/2006/relationships/image" Target="media/image52.jpeg"/><Relationship Id="rId130" Type="http://schemas.openxmlformats.org/officeDocument/2006/relationships/image" Target="media/image52.jpeg"/><Relationship Id="rId131" Type="http://schemas.openxmlformats.org/officeDocument/2006/relationships/image" Target="media/image52.jpeg"/><Relationship Id="rId132" Type="http://schemas.openxmlformats.org/officeDocument/2006/relationships/image" Target="media/image52.jpeg"/><Relationship Id="rId133" Type="http://schemas.openxmlformats.org/officeDocument/2006/relationships/image" Target="media/image52.jpeg"/><Relationship Id="rId134" Type="http://schemas.openxmlformats.org/officeDocument/2006/relationships/image" Target="media/image52.jpeg"/><Relationship Id="rId135" Type="http://schemas.openxmlformats.org/officeDocument/2006/relationships/image" Target="media/image52.jpeg"/><Relationship Id="rId136" Type="http://schemas.openxmlformats.org/officeDocument/2006/relationships/image" Target="media/image52.jpeg"/><Relationship Id="rId137" Type="http://schemas.openxmlformats.org/officeDocument/2006/relationships/image" Target="media/image52.jpeg"/><Relationship Id="rId138" Type="http://schemas.openxmlformats.org/officeDocument/2006/relationships/image" Target="media/image52.jpeg"/><Relationship Id="rId139" Type="http://schemas.openxmlformats.org/officeDocument/2006/relationships/image" Target="media/image52.jpeg"/><Relationship Id="rId140" Type="http://schemas.openxmlformats.org/officeDocument/2006/relationships/image" Target="media/image52.jpeg"/><Relationship Id="rId141" Type="http://schemas.openxmlformats.org/officeDocument/2006/relationships/image" Target="media/image52.jpeg"/><Relationship Id="rId142" Type="http://schemas.openxmlformats.org/officeDocument/2006/relationships/image" Target="media/image52.jpeg"/><Relationship Id="rId143" Type="http://schemas.openxmlformats.org/officeDocument/2006/relationships/image" Target="media/image52.jpeg"/><Relationship Id="rId144" Type="http://schemas.openxmlformats.org/officeDocument/2006/relationships/image" Target="media/image52.jpeg"/><Relationship Id="rId145" Type="http://schemas.openxmlformats.org/officeDocument/2006/relationships/image" Target="media/image52.jpeg"/><Relationship Id="rId146" Type="http://schemas.openxmlformats.org/officeDocument/2006/relationships/image" Target="media/image52.jpeg"/><Relationship Id="rId147" Type="http://schemas.openxmlformats.org/officeDocument/2006/relationships/image" Target="media/image52.jpeg"/><Relationship Id="rId148" Type="http://schemas.openxmlformats.org/officeDocument/2006/relationships/image" Target="media/image52.jpeg"/><Relationship Id="rId149" Type="http://schemas.openxmlformats.org/officeDocument/2006/relationships/image" Target="media/image52.jpeg"/><Relationship Id="rId150" Type="http://schemas.openxmlformats.org/officeDocument/2006/relationships/image" Target="media/image52.jpeg"/><Relationship Id="rId151" Type="http://schemas.openxmlformats.org/officeDocument/2006/relationships/image" Target="media/image52.jpeg"/><Relationship Id="rId152" Type="http://schemas.openxmlformats.org/officeDocument/2006/relationships/image" Target="media/image52.jpeg"/><Relationship Id="rId153" Type="http://schemas.openxmlformats.org/officeDocument/2006/relationships/image" Target="media/image52.jpeg"/><Relationship Id="rId154" Type="http://schemas.openxmlformats.org/officeDocument/2006/relationships/image" Target="media/image52.jpeg"/><Relationship Id="rId155" Type="http://schemas.openxmlformats.org/officeDocument/2006/relationships/image" Target="media/image52.jpeg"/><Relationship Id="rId156" Type="http://schemas.openxmlformats.org/officeDocument/2006/relationships/image" Target="media/image52.jpeg"/><Relationship Id="rId157" Type="http://schemas.openxmlformats.org/officeDocument/2006/relationships/image" Target="media/image52.jpeg"/><Relationship Id="rId158" Type="http://schemas.openxmlformats.org/officeDocument/2006/relationships/image" Target="media/image52.jpeg"/><Relationship Id="rId159" Type="http://schemas.openxmlformats.org/officeDocument/2006/relationships/image" Target="media/image52.jpeg"/><Relationship Id="rId160" Type="http://schemas.openxmlformats.org/officeDocument/2006/relationships/image" Target="media/image52.jpeg"/><Relationship Id="rId161" Type="http://schemas.openxmlformats.org/officeDocument/2006/relationships/image" Target="media/image52.jpeg"/><Relationship Id="rId162" Type="http://schemas.openxmlformats.org/officeDocument/2006/relationships/image" Target="media/image52.jpeg"/><Relationship Id="rId163" Type="http://schemas.openxmlformats.org/officeDocument/2006/relationships/image" Target="media/image52.jpeg"/><Relationship Id="rId164" Type="http://schemas.openxmlformats.org/officeDocument/2006/relationships/image" Target="media/image52.jpeg"/><Relationship Id="rId165" Type="http://schemas.openxmlformats.org/officeDocument/2006/relationships/image" Target="media/image52.jpeg"/><Relationship Id="rId166" Type="http://schemas.openxmlformats.org/officeDocument/2006/relationships/image" Target="media/image52.jpeg"/><Relationship Id="rId167" Type="http://schemas.openxmlformats.org/officeDocument/2006/relationships/image" Target="media/image52.jpeg"/><Relationship Id="rId168" Type="http://schemas.openxmlformats.org/officeDocument/2006/relationships/image" Target="media/image52.jpeg"/><Relationship Id="rId169" Type="http://schemas.openxmlformats.org/officeDocument/2006/relationships/image" Target="media/image52.jpeg"/><Relationship Id="rId170" Type="http://schemas.openxmlformats.org/officeDocument/2006/relationships/image" Target="media/image52.jpeg"/><Relationship Id="rId171" Type="http://schemas.openxmlformats.org/officeDocument/2006/relationships/image" Target="media/image52.jpeg"/><Relationship Id="rId172" Type="http://schemas.openxmlformats.org/officeDocument/2006/relationships/image" Target="media/image52.jpeg"/><Relationship Id="rId173" Type="http://schemas.openxmlformats.org/officeDocument/2006/relationships/image" Target="media/image52.jpeg"/><Relationship Id="rId174" Type="http://schemas.openxmlformats.org/officeDocument/2006/relationships/image" Target="media/image52.jpeg"/><Relationship Id="rId175" Type="http://schemas.openxmlformats.org/officeDocument/2006/relationships/image" Target="media/image52.jpeg"/><Relationship Id="rId176" Type="http://schemas.openxmlformats.org/officeDocument/2006/relationships/image" Target="media/image52.jpeg"/><Relationship Id="rId177" Type="http://schemas.openxmlformats.org/officeDocument/2006/relationships/image" Target="media/image52.jpeg"/><Relationship Id="rId178" Type="http://schemas.openxmlformats.org/officeDocument/2006/relationships/image" Target="media/image52.jpeg"/><Relationship Id="rId179" Type="http://schemas.openxmlformats.org/officeDocument/2006/relationships/image" Target="media/image52.jpeg"/><Relationship Id="rId180" Type="http://schemas.openxmlformats.org/officeDocument/2006/relationships/image" Target="media/image52.jpeg"/><Relationship Id="rId181" Type="http://schemas.openxmlformats.org/officeDocument/2006/relationships/image" Target="media/image52.jpeg"/><Relationship Id="rId182" Type="http://schemas.openxmlformats.org/officeDocument/2006/relationships/image" Target="media/image52.jpeg"/><Relationship Id="rId183" Type="http://schemas.openxmlformats.org/officeDocument/2006/relationships/image" Target="media/image52.jpeg"/><Relationship Id="rId184" Type="http://schemas.openxmlformats.org/officeDocument/2006/relationships/image" Target="media/image52.jpeg"/><Relationship Id="rId185" Type="http://schemas.openxmlformats.org/officeDocument/2006/relationships/image" Target="media/image52.jpeg"/><Relationship Id="rId186" Type="http://schemas.openxmlformats.org/officeDocument/2006/relationships/image" Target="media/image52.jpeg"/><Relationship Id="rId187" Type="http://schemas.openxmlformats.org/officeDocument/2006/relationships/image" Target="media/image52.jpeg"/><Relationship Id="rId188" Type="http://schemas.openxmlformats.org/officeDocument/2006/relationships/image" Target="media/image52.jpeg"/><Relationship Id="rId189" Type="http://schemas.openxmlformats.org/officeDocument/2006/relationships/image" Target="media/image52.jpeg"/><Relationship Id="rId190" Type="http://schemas.openxmlformats.org/officeDocument/2006/relationships/image" Target="media/image52.jpeg"/><Relationship Id="rId191" Type="http://schemas.openxmlformats.org/officeDocument/2006/relationships/image" Target="media/image52.jpeg"/><Relationship Id="rId192" Type="http://schemas.openxmlformats.org/officeDocument/2006/relationships/image" Target="media/image52.jpeg"/><Relationship Id="rId193" Type="http://schemas.openxmlformats.org/officeDocument/2006/relationships/image" Target="media/image52.jpeg"/><Relationship Id="rId194" Type="http://schemas.openxmlformats.org/officeDocument/2006/relationships/image" Target="media/image52.jpeg"/><Relationship Id="rId195" Type="http://schemas.openxmlformats.org/officeDocument/2006/relationships/image" Target="media/image52.jpeg"/><Relationship Id="rId196" Type="http://schemas.openxmlformats.org/officeDocument/2006/relationships/image" Target="media/image52.jpeg"/><Relationship Id="rId197" Type="http://schemas.openxmlformats.org/officeDocument/2006/relationships/image" Target="media/image52.jpeg"/><Relationship Id="rId198" Type="http://schemas.openxmlformats.org/officeDocument/2006/relationships/image" Target="media/image52.jpeg"/><Relationship Id="rId199" Type="http://schemas.openxmlformats.org/officeDocument/2006/relationships/image" Target="media/image52.jpeg"/><Relationship Id="rId200" Type="http://schemas.openxmlformats.org/officeDocument/2006/relationships/image" Target="media/image52.jpeg"/><Relationship Id="rId201" Type="http://schemas.openxmlformats.org/officeDocument/2006/relationships/image" Target="media/image52.jpeg"/><Relationship Id="rId202" Type="http://schemas.openxmlformats.org/officeDocument/2006/relationships/image" Target="media/image53.jpeg"/><Relationship Id="rId203" Type="http://schemas.openxmlformats.org/officeDocument/2006/relationships/image" Target="media/image53.jpeg"/><Relationship Id="rId204" Type="http://schemas.openxmlformats.org/officeDocument/2006/relationships/image" Target="media/image54.jpeg"/><Relationship Id="rId205" Type="http://schemas.openxmlformats.org/officeDocument/2006/relationships/image" Target="media/image22.jpeg"/><Relationship Id="rId206" Type="http://schemas.openxmlformats.org/officeDocument/2006/relationships/image" Target="media/image22.jpeg"/><Relationship Id="rId207" Type="http://schemas.openxmlformats.org/officeDocument/2006/relationships/image" Target="media/image22.jpeg"/><Relationship Id="rId208" Type="http://schemas.openxmlformats.org/officeDocument/2006/relationships/image" Target="media/image22.jpeg"/><Relationship Id="rId209" Type="http://schemas.openxmlformats.org/officeDocument/2006/relationships/image" Target="media/image22.jpeg"/><Relationship Id="rId210" Type="http://schemas.openxmlformats.org/officeDocument/2006/relationships/image" Target="media/image22.jpeg"/><Relationship Id="rId211" Type="http://schemas.openxmlformats.org/officeDocument/2006/relationships/image" Target="media/image22.jpeg"/><Relationship Id="rId212" Type="http://schemas.openxmlformats.org/officeDocument/2006/relationships/image" Target="media/image24.jpeg"/><Relationship Id="rId213" Type="http://schemas.openxmlformats.org/officeDocument/2006/relationships/image" Target="media/image28.jpeg"/><Relationship Id="rId214" Type="http://schemas.openxmlformats.org/officeDocument/2006/relationships/image" Target="media/image28.jpeg"/><Relationship Id="rId215" Type="http://schemas.openxmlformats.org/officeDocument/2006/relationships/image" Target="media/image28.jpeg"/><Relationship Id="rId216" Type="http://schemas.openxmlformats.org/officeDocument/2006/relationships/image" Target="media/image28.jpeg"/><Relationship Id="rId217" Type="http://schemas.openxmlformats.org/officeDocument/2006/relationships/image" Target="media/image24.jpeg"/><Relationship Id="rId218" Type="http://schemas.openxmlformats.org/officeDocument/2006/relationships/image" Target="media/image28.jpeg"/><Relationship Id="rId219" Type="http://schemas.openxmlformats.org/officeDocument/2006/relationships/image" Target="media/image24.jpeg"/><Relationship Id="rId220" Type="http://schemas.openxmlformats.org/officeDocument/2006/relationships/image" Target="media/image24.jpeg"/><Relationship Id="rId221" Type="http://schemas.openxmlformats.org/officeDocument/2006/relationships/image" Target="media/image28.jpeg"/><Relationship Id="rId222" Type="http://schemas.openxmlformats.org/officeDocument/2006/relationships/image" Target="media/image28.jpeg"/><Relationship Id="rId223" Type="http://schemas.openxmlformats.org/officeDocument/2006/relationships/image" Target="media/image24.jpeg"/><Relationship Id="rId224" Type="http://schemas.openxmlformats.org/officeDocument/2006/relationships/image" Target="media/image28.jpeg"/><Relationship Id="rId225" Type="http://schemas.openxmlformats.org/officeDocument/2006/relationships/image" Target="media/image28.jpeg"/><Relationship Id="rId226" Type="http://schemas.openxmlformats.org/officeDocument/2006/relationships/image" Target="media/image28.jpeg"/><Relationship Id="rId227" Type="http://schemas.openxmlformats.org/officeDocument/2006/relationships/image" Target="media/image28.jpeg"/><Relationship Id="rId228" Type="http://schemas.openxmlformats.org/officeDocument/2006/relationships/image" Target="media/image24.jpeg"/><Relationship Id="rId229" Type="http://schemas.openxmlformats.org/officeDocument/2006/relationships/image" Target="media/image55.jpeg"/><Relationship Id="rId230" Type="http://schemas.openxmlformats.org/officeDocument/2006/relationships/image" Target="media/image56.jpeg"/><Relationship Id="rId231" Type="http://schemas.openxmlformats.org/officeDocument/2006/relationships/image" Target="media/image56.jpeg"/><Relationship Id="rId232" Type="http://schemas.openxmlformats.org/officeDocument/2006/relationships/image" Target="media/image57.jpeg"/><Relationship Id="rId233" Type="http://schemas.openxmlformats.org/officeDocument/2006/relationships/image" Target="media/image58.jpeg"/><Relationship Id="rId234" Type="http://schemas.openxmlformats.org/officeDocument/2006/relationships/image" Target="media/image59.jpeg"/><Relationship Id="rId235" Type="http://schemas.openxmlformats.org/officeDocument/2006/relationships/image" Target="media/image60.jpeg"/><Relationship Id="rId236" Type="http://schemas.openxmlformats.org/officeDocument/2006/relationships/image" Target="media/image61.jpeg"/><Relationship Id="rId237" Type="http://schemas.openxmlformats.org/officeDocument/2006/relationships/image" Target="media/image62.jpeg"/><Relationship Id="rId238" Type="http://schemas.openxmlformats.org/officeDocument/2006/relationships/image" Target="media/image63.jpeg"/><Relationship Id="rId239" Type="http://schemas.openxmlformats.org/officeDocument/2006/relationships/image" Target="media/image22.jpeg"/><Relationship Id="rId240" Type="http://schemas.openxmlformats.org/officeDocument/2006/relationships/image" Target="media/image22.jpeg"/><Relationship Id="rId241" Type="http://schemas.openxmlformats.org/officeDocument/2006/relationships/image" Target="media/image22.jpeg"/><Relationship Id="rId242" Type="http://schemas.openxmlformats.org/officeDocument/2006/relationships/image" Target="media/image22.jpeg"/><Relationship Id="rId243" Type="http://schemas.openxmlformats.org/officeDocument/2006/relationships/image" Target="media/image41.jpeg"/><Relationship Id="rId244" Type="http://schemas.openxmlformats.org/officeDocument/2006/relationships/image" Target="media/image60.jpeg"/><Relationship Id="rId245" Type="http://schemas.openxmlformats.org/officeDocument/2006/relationships/image" Target="media/image61.jpeg"/><Relationship Id="rId246" Type="http://schemas.openxmlformats.org/officeDocument/2006/relationships/image" Target="media/image62.jpeg"/><Relationship Id="rId247" Type="http://schemas.openxmlformats.org/officeDocument/2006/relationships/image" Target="media/image64.jpeg"/><Relationship Id="rId248" Type="http://schemas.openxmlformats.org/officeDocument/2006/relationships/image" Target="media/image65.jpeg"/><Relationship Id="rId249" Type="http://schemas.openxmlformats.org/officeDocument/2006/relationships/image" Target="media/image66.jpeg"/><Relationship Id="rId250" Type="http://schemas.openxmlformats.org/officeDocument/2006/relationships/image" Target="media/image17.jpeg"/><Relationship Id="rId251" Type="http://schemas.openxmlformats.org/officeDocument/2006/relationships/image" Target="media/image19.jpeg"/><Relationship Id="rId252" Type="http://schemas.openxmlformats.org/officeDocument/2006/relationships/image" Target="media/image18.jpeg"/><Relationship Id="rId253" Type="http://schemas.openxmlformats.org/officeDocument/2006/relationships/image" Target="media/image20.jpeg"/><Relationship Id="rId254" Type="http://schemas.openxmlformats.org/officeDocument/2006/relationships/image" Target="media/image67.jpeg"/><Relationship Id="rId255" Type="http://schemas.openxmlformats.org/officeDocument/2006/relationships/image" Target="media/image68.jpeg"/><Relationship Id="rId256" Type="http://schemas.openxmlformats.org/officeDocument/2006/relationships/image" Target="media/image69.jpeg"/><Relationship Id="rId257" Type="http://schemas.openxmlformats.org/officeDocument/2006/relationships/image" Target="media/image70.jpeg"/><Relationship Id="rId258" Type="http://schemas.openxmlformats.org/officeDocument/2006/relationships/image" Target="media/image70.jpeg"/><Relationship Id="rId259" Type="http://schemas.openxmlformats.org/officeDocument/2006/relationships/image" Target="media/image70.jpeg"/><Relationship Id="rId260" Type="http://schemas.openxmlformats.org/officeDocument/2006/relationships/image" Target="media/image70.jpeg"/><Relationship Id="rId261" Type="http://schemas.openxmlformats.org/officeDocument/2006/relationships/image" Target="media/image30.jpeg"/><Relationship Id="rId262" Type="http://schemas.openxmlformats.org/officeDocument/2006/relationships/image" Target="media/image31.jpeg"/><Relationship Id="rId263" Type="http://schemas.openxmlformats.org/officeDocument/2006/relationships/image" Target="media/image71.jpeg"/><Relationship Id="rId264" Type="http://schemas.openxmlformats.org/officeDocument/2006/relationships/image" Target="media/image22.jpeg"/><Relationship Id="rId265" Type="http://schemas.openxmlformats.org/officeDocument/2006/relationships/image" Target="media/image22.jpeg"/><Relationship Id="rId266" Type="http://schemas.openxmlformats.org/officeDocument/2006/relationships/image" Target="media/image22.jpeg"/><Relationship Id="rId267" Type="http://schemas.openxmlformats.org/officeDocument/2006/relationships/image" Target="media/image22.jpeg"/><Relationship Id="rId268" Type="http://schemas.openxmlformats.org/officeDocument/2006/relationships/image" Target="media/image22.jpeg"/><Relationship Id="rId269" Type="http://schemas.openxmlformats.org/officeDocument/2006/relationships/image" Target="media/image22.jpeg"/><Relationship Id="rId270" Type="http://schemas.openxmlformats.org/officeDocument/2006/relationships/image" Target="media/image22.jpeg"/><Relationship Id="rId271" Type="http://schemas.openxmlformats.org/officeDocument/2006/relationships/image" Target="media/image22.jpeg"/><Relationship Id="rId272" Type="http://schemas.openxmlformats.org/officeDocument/2006/relationships/image" Target="media/image22.jpeg"/><Relationship Id="rId273" Type="http://schemas.openxmlformats.org/officeDocument/2006/relationships/image" Target="media/image22.jpeg"/><Relationship Id="rId274" Type="http://schemas.openxmlformats.org/officeDocument/2006/relationships/image" Target="media/image22.jpeg"/><Relationship Id="rId275" Type="http://schemas.openxmlformats.org/officeDocument/2006/relationships/image" Target="media/image72.jpeg"/><Relationship Id="rId276" Type="http://schemas.openxmlformats.org/officeDocument/2006/relationships/image" Target="media/image22.jpeg"/><Relationship Id="rId277" Type="http://schemas.openxmlformats.org/officeDocument/2006/relationships/image" Target="media/image22.jpeg"/><Relationship Id="rId278" Type="http://schemas.openxmlformats.org/officeDocument/2006/relationships/image" Target="media/image22.jpeg"/><Relationship Id="rId279" Type="http://schemas.openxmlformats.org/officeDocument/2006/relationships/image" Target="media/image22.jpeg"/><Relationship Id="rId280" Type="http://schemas.openxmlformats.org/officeDocument/2006/relationships/image" Target="media/image22.jpeg"/><Relationship Id="rId281" Type="http://schemas.openxmlformats.org/officeDocument/2006/relationships/image" Target="media/image73.jpeg"/><Relationship Id="rId282" Type="http://schemas.openxmlformats.org/officeDocument/2006/relationships/image" Target="media/image74.jpeg"/><Relationship Id="rId283" Type="http://schemas.openxmlformats.org/officeDocument/2006/relationships/image" Target="media/image75.jpeg"/><Relationship Id="rId284" Type="http://schemas.openxmlformats.org/officeDocument/2006/relationships/image" Target="media/image76.jpeg"/><Relationship Id="rId285" Type="http://schemas.openxmlformats.org/officeDocument/2006/relationships/image" Target="media/image77.jpeg"/><Relationship Id="rId286" Type="http://schemas.openxmlformats.org/officeDocument/2006/relationships/image" Target="media/image78.jpeg"/><Relationship Id="rId287" Type="http://schemas.openxmlformats.org/officeDocument/2006/relationships/image" Target="media/image79.jpeg"/><Relationship Id="rId288" Type="http://schemas.openxmlformats.org/officeDocument/2006/relationships/image" Target="media/image80.jpeg"/><Relationship Id="rId289" Type="http://schemas.openxmlformats.org/officeDocument/2006/relationships/image" Target="media/image81.jpeg"/><Relationship Id="rId290" Type="http://schemas.openxmlformats.org/officeDocument/2006/relationships/image" Target="media/image82.jpeg"/><Relationship Id="rId291" Type="http://schemas.openxmlformats.org/officeDocument/2006/relationships/image" Target="media/image83.jpeg"/><Relationship Id="rId292" Type="http://schemas.openxmlformats.org/officeDocument/2006/relationships/image" Target="media/image84.jpeg"/><Relationship Id="rId293" Type="http://schemas.openxmlformats.org/officeDocument/2006/relationships/image" Target="media/image22.jpeg"/><Relationship Id="rId294" Type="http://schemas.openxmlformats.org/officeDocument/2006/relationships/image" Target="media/image22.jpeg"/><Relationship Id="rId295" Type="http://schemas.openxmlformats.org/officeDocument/2006/relationships/image" Target="media/image85.jpeg"/><Relationship Id="rId296" Type="http://schemas.openxmlformats.org/officeDocument/2006/relationships/image" Target="media/image86.jpeg"/><Relationship Id="rId297" Type="http://schemas.openxmlformats.org/officeDocument/2006/relationships/image" Target="media/image87.jpeg"/><Relationship Id="rId298" Type="http://schemas.openxmlformats.org/officeDocument/2006/relationships/image" Target="media/image88.jpeg"/><Relationship Id="rId299" Type="http://schemas.openxmlformats.org/officeDocument/2006/relationships/fontTable" Target="fontTable.xml"/><Relationship Id="rId30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13</Pages>
  <Words>48266</Words>
  <Characters>270893</Characters>
  <CharactersWithSpaces>316626</CharactersWithSpaces>
  <Paragraphs>5996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