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Siminoff Ellen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25"/>
        <w:gridCol w:w="793"/>
        <w:gridCol w:w="614"/>
        <w:gridCol w:w="346"/>
        <w:gridCol w:w="780"/>
        <w:gridCol w:w="434"/>
        <w:gridCol w:w="853"/>
        <w:gridCol w:w="1138"/>
        <w:gridCol w:w="983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242.34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D&amp;E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242.34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EFS 2020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8,571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pursuant to a Rule 10b5-1 trading plan adopted by the D&amp;E Living Trust and the EFS 2020 Irrevocable Trust on February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directly by the D&amp;E Living Trust. The Reporting Person and David Siminoff serve as co-trustees and retain voting and dispositive power with respect to the shares held by the D&amp;E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directly by the EFS 2020 Irrevocable Trust. The Reporting Person serves as trustee and holds voting and dispositive power with respect to these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Ellen F. Siminoff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64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3658</Characters>
  <CharactersWithSpaces>4262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