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16,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TAKE-TWO INTERACTIVE SOFTWARE,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085" w:type="dxa"/>
        <w:jc w:val="left"/>
        <w:tblInd w:w="0" w:type="dxa"/>
        <w:tblLayout w:type="fixed"/>
        <w:tblCellMar>
          <w:top w:w="28" w:type="dxa"/>
          <w:left w:w="28" w:type="dxa"/>
          <w:bottom w:w="28" w:type="dxa"/>
          <w:right w:w="28" w:type="dxa"/>
        </w:tblCellMar>
      </w:tblPr>
      <w:tblGrid>
        <w:gridCol w:w="812"/>
        <w:gridCol w:w="713"/>
        <w:gridCol w:w="724"/>
        <w:gridCol w:w="394"/>
        <w:gridCol w:w="394"/>
        <w:gridCol w:w="398"/>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001-34003</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51-0350842</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917" w:type="dxa"/>
        <w:jc w:val="center"/>
        <w:tblInd w:w="0" w:type="dxa"/>
        <w:tblLayout w:type="fixed"/>
        <w:tblCellMar>
          <w:top w:w="28" w:type="dxa"/>
          <w:left w:w="28" w:type="dxa"/>
          <w:bottom w:w="28" w:type="dxa"/>
          <w:right w:w="28" w:type="dxa"/>
        </w:tblCellMar>
      </w:tblPr>
      <w:tblGrid>
        <w:gridCol w:w="689"/>
        <w:gridCol w:w="606"/>
        <w:gridCol w:w="609"/>
        <w:gridCol w:w="344"/>
        <w:gridCol w:w="344"/>
        <w:gridCol w:w="346"/>
        <w:gridCol w:w="314"/>
        <w:gridCol w:w="314"/>
        <w:gridCol w:w="316"/>
        <w:gridCol w:w="303"/>
        <w:gridCol w:w="303"/>
        <w:gridCol w:w="429"/>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110 West 44th Street,</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New York, </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New York</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10036</w:t>
            </w:r>
          </w:p>
        </w:tc>
      </w:tr>
      <w:tr>
        <w:trPr/>
        <w:tc>
          <w:tcPr>
            <w:tcW w:w="38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(646) 536-2842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709"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21"/>
        <w:gridCol w:w="1121"/>
        <w:gridCol w:w="1584"/>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TTWO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80" w:type="dxa"/>
        <w:jc w:val="left"/>
        <w:tblInd w:w="0" w:type="dxa"/>
        <w:tblLayout w:type="fixed"/>
        <w:tblCellMar>
          <w:top w:w="28" w:type="dxa"/>
          <w:left w:w="28" w:type="dxa"/>
          <w:bottom w:w="28" w:type="dxa"/>
          <w:right w:w="28" w:type="dxa"/>
        </w:tblCellMar>
      </w:tblPr>
      <w:tblGrid>
        <w:gridCol w:w="337"/>
        <w:gridCol w:w="295"/>
        <w:gridCol w:w="298"/>
        <w:gridCol w:w="1186"/>
        <w:gridCol w:w="1186"/>
        <w:gridCol w:w="1678"/>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2.02</w:t>
            </w:r>
          </w:p>
        </w:tc>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2024, Take-Two Interactive Software, Inc. (the “Company”) issued a press release announcing the financial results of the Company for its fourth fiscal quarter and fiscal year ended March 31, 2024.  A copy of the press release is attached to this Current Report as Exhibit 99.1 and is incorporated by reference herein.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 </w:t>
      </w:r>
    </w:p>
    <w:p>
      <w:pPr>
        <w:pStyle w:val="TextBody"/>
        <w:bidi w:val="0"/>
        <w:spacing w:before="1" w:after="1"/>
        <w:jc w:val="left"/>
        <w:rPr/>
      </w:pPr>
      <w:r>
        <w:rPr/>
      </w:r>
    </w:p>
    <w:tbl>
      <w:tblPr>
        <w:tblW w:w="3960" w:type="dxa"/>
        <w:jc w:val="left"/>
        <w:tblInd w:w="0" w:type="dxa"/>
        <w:tblLayout w:type="fixed"/>
        <w:tblCellMar>
          <w:top w:w="28" w:type="dxa"/>
          <w:left w:w="28" w:type="dxa"/>
          <w:bottom w:w="28" w:type="dxa"/>
          <w:right w:w="28" w:type="dxa"/>
        </w:tblCellMar>
      </w:tblPr>
      <w:tblGrid>
        <w:gridCol w:w="337"/>
        <w:gridCol w:w="295"/>
        <w:gridCol w:w="298"/>
        <w:gridCol w:w="887"/>
        <w:gridCol w:w="887"/>
        <w:gridCol w:w="1256"/>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9.01</w:t>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2740"/>
        <w:gridCol w:w="2740"/>
        <w:gridCol w:w="3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99.1</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ttwo4q24earningsrelease.htm">
              <w:r>
                <w:rPr>
                  <w:rStyle w:val="InternetLink"/>
                  <w:rFonts w:ascii="Times New Roman;sans-serif" w:hAnsi="Times New Roman;sans-serif"/>
                  <w:b w:val="false"/>
                  <w:color w:val="0000FF"/>
                  <w:sz w:val="20"/>
                  <w:u w:val="single"/>
                </w:rPr>
                <w:t>Press Release dated May 16, 2024 relating to Take-Two Interactive Software, Inc.’s financial results for its fourth fiscal quarter and fiscal year ended March 31, 2024</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120"/>
        <w:jc w:val="left"/>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7935" w:type="dxa"/>
        <w:jc w:val="left"/>
        <w:tblInd w:w="0" w:type="dxa"/>
        <w:tblLayout w:type="fixed"/>
        <w:tblCellMar>
          <w:top w:w="28" w:type="dxa"/>
          <w:left w:w="28" w:type="dxa"/>
          <w:bottom w:w="28" w:type="dxa"/>
          <w:right w:w="28" w:type="dxa"/>
        </w:tblCellMar>
      </w:tblPr>
      <w:tblGrid>
        <w:gridCol w:w="701"/>
        <w:gridCol w:w="615"/>
        <w:gridCol w:w="619"/>
        <w:gridCol w:w="625"/>
        <w:gridCol w:w="625"/>
        <w:gridCol w:w="625"/>
        <w:gridCol w:w="1204"/>
        <w:gridCol w:w="1204"/>
        <w:gridCol w:w="1717"/>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TAKE-TWO INTERACTIVE SOFTWARE, INC.</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Breitman</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Breitman</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Americas</w:t>
              <w:br/>
              <w:t>&amp; Corporate Secretary</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1" w:after="1"/>
              <w:jc w:val="left"/>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4"/>
              </w:rPr>
              <w:t>May 16, 2024</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99.1</w:t>
      </w:r>
    </w:p>
    <w:p>
      <w:pPr>
        <w:pStyle w:val="TextBody"/>
        <w:bidi w:val="0"/>
        <w:spacing w:before="0" w:after="0"/>
        <w:jc w:val="right"/>
        <w:rPr/>
      </w:pPr>
      <w:r>
        <w:rPr/>
      </w:r>
    </w:p>
    <w:tbl>
      <w:tblPr>
        <w:tblW w:w="5348" w:type="dxa"/>
        <w:jc w:val="left"/>
        <w:tblInd w:w="0" w:type="dxa"/>
        <w:tblLayout w:type="fixed"/>
        <w:tblCellMar>
          <w:top w:w="28" w:type="dxa"/>
          <w:left w:w="28" w:type="dxa"/>
          <w:bottom w:w="28" w:type="dxa"/>
          <w:right w:w="28" w:type="dxa"/>
        </w:tblCellMar>
      </w:tblPr>
      <w:tblGrid>
        <w:gridCol w:w="841"/>
        <w:gridCol w:w="739"/>
        <w:gridCol w:w="741"/>
        <w:gridCol w:w="109"/>
        <w:gridCol w:w="109"/>
        <w:gridCol w:w="109"/>
        <w:gridCol w:w="790"/>
        <w:gridCol w:w="790"/>
        <w:gridCol w:w="1120"/>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09700" cy="1409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09700" cy="1409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 IMMEDIATE RELEASE</w:t>
            </w:r>
          </w:p>
        </w:tc>
      </w:tr>
    </w:tbl>
    <w:p>
      <w:pPr>
        <w:pStyle w:val="TextBody"/>
        <w:bidi w:val="0"/>
        <w:spacing w:before="0" w:after="0"/>
        <w:jc w:val="left"/>
        <w:rPr/>
      </w:pPr>
      <w:r>
        <w:rPr/>
      </w:r>
    </w:p>
    <w:tbl>
      <w:tblPr>
        <w:tblW w:w="8402" w:type="dxa"/>
        <w:jc w:val="left"/>
        <w:tblInd w:w="0" w:type="dxa"/>
        <w:tblLayout w:type="fixed"/>
        <w:tblCellMar>
          <w:top w:w="28" w:type="dxa"/>
          <w:left w:w="28" w:type="dxa"/>
          <w:bottom w:w="28" w:type="dxa"/>
          <w:right w:w="28" w:type="dxa"/>
        </w:tblCellMar>
      </w:tblPr>
      <w:tblGrid>
        <w:gridCol w:w="1583"/>
        <w:gridCol w:w="1387"/>
        <w:gridCol w:w="1394"/>
        <w:gridCol w:w="109"/>
        <w:gridCol w:w="1148"/>
        <w:gridCol w:w="1148"/>
        <w:gridCol w:w="1633"/>
      </w:tblGrid>
      <w:tr>
        <w:trPr/>
        <w:tc>
          <w:tcPr>
            <w:tcW w:w="15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CONTACT: </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Press)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Nicole Shevins</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Alan Lewis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Vice President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Investor Relations &amp; Corporate Communications </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Communications &amp; Public Affairs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Take-Two Interactive Software, Inc.</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Take-Two Interactive Software, Inc.</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(646) 536-3005</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(646) 536-2983</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Nicole.Shevins@take2games.com </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Alan.Lewis@take2games.com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Take-Two Interactive Software, Inc. Reports Results for Fourth Quarter and Fiscal Year 2024</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$1.35 billion fourth quarter Net Bookings, with outperformance in NBA 2K24; Zynga’s in-app purchases, led by Toon Blast and Match Factory!; the Red Dead Redemption series and the Grand Theft Auto series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xml:space="preserve">$5.33 billion fiscal year 2024 Net Bookings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Company gives initial outlook for fiscal 2025, including Net Bookings of $5.55 to $5.65 billion</w:t>
      </w:r>
    </w:p>
    <w:p>
      <w:pPr>
        <w:pStyle w:val="TextBody"/>
        <w:bidi w:val="0"/>
        <w:spacing w:before="0" w:after="0"/>
        <w:jc w:val="center"/>
        <w:rPr/>
      </w:pPr>
      <w:r>
        <w:rPr/>
      </w:r>
    </w:p>
    <w:p>
      <w:pPr>
        <w:pStyle w:val="TextBody"/>
        <w:bidi w:val="0"/>
        <w:spacing w:lineRule="auto" w:line="268" w:before="0" w:after="0"/>
        <w:jc w:val="left"/>
        <w:rPr/>
      </w:pPr>
      <w:r>
        <w:rPr>
          <w:rFonts w:ascii="Arial;sans-serif" w:hAnsi="Arial;sans-serif"/>
          <w:b/>
          <w:color w:val="000000"/>
          <w:sz w:val="20"/>
          <w:u w:val="single"/>
        </w:rPr>
        <w:t>New York, NY – May 16, 2024</w:t>
      </w:r>
      <w:r>
        <w:rPr>
          <w:color w:val="000000"/>
        </w:rPr>
        <w:t xml:space="preserve"> – </w:t>
      </w:r>
      <w:r>
        <w:rPr>
          <w:rFonts w:ascii="Arial;sans-serif" w:hAnsi="Arial;sans-serif"/>
          <w:b w:val="false"/>
          <w:color w:val="000000"/>
          <w:sz w:val="20"/>
        </w:rPr>
        <w:t xml:space="preserve">Take-Two Interactive Software, Inc. (NASDAQ:TTWO) today reported results for the fourth quarter and fiscal year 2024, ended March 31, 2024. For further information, please see the fourth quarter and fiscal 2024 results slide deck posted to the Company’s investor relations website at </w:t>
      </w:r>
      <w:r>
        <w:rPr>
          <w:rFonts w:ascii="Arial;sans-serif" w:hAnsi="Arial;sans-serif"/>
          <w:b w:val="false"/>
          <w:color w:val="0000FF"/>
          <w:sz w:val="20"/>
          <w:u w:val="single"/>
        </w:rPr>
        <w:t>take2games.com/ir</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Management Comments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"We concluded Fiscal 2024 with strong fourth quarter results, including Net Bookings of $1.35 billion, which exceeded the high-end of our guidance range. Many of our key franchises outperformed, including </w:t>
      </w:r>
      <w:r>
        <w:rPr>
          <w:rFonts w:ascii="Arial;sans-serif" w:hAnsi="Arial;sans-serif"/>
          <w:b w:val="false"/>
          <w:i/>
          <w:color w:val="000000"/>
          <w:sz w:val="20"/>
        </w:rPr>
        <w:t>NBA 2K24</w:t>
      </w:r>
      <w:r>
        <w:rPr>
          <w:rFonts w:ascii="Arial;sans-serif" w:hAnsi="Arial;sans-serif"/>
          <w:b w:val="false"/>
          <w:color w:val="000000"/>
          <w:sz w:val="20"/>
        </w:rPr>
        <w:t xml:space="preserve">; Zynga’s in-app purchases, led by </w:t>
      </w:r>
      <w:r>
        <w:rPr>
          <w:rFonts w:ascii="Arial;sans-serif" w:hAnsi="Arial;sans-serif"/>
          <w:b w:val="false"/>
          <w:i/>
          <w:color w:val="000000"/>
          <w:sz w:val="20"/>
        </w:rPr>
        <w:t>Toon Blast</w:t>
      </w:r>
      <w:r>
        <w:rPr>
          <w:color w:val="000000"/>
        </w:rPr>
        <w:t xml:space="preserve"> </w:t>
      </w:r>
      <w:r>
        <w:rPr>
          <w:rFonts w:ascii="Arial;sans-serif" w:hAnsi="Arial;sans-serif"/>
          <w:b w:val="false"/>
          <w:color w:val="000000"/>
          <w:sz w:val="20"/>
        </w:rPr>
        <w:t xml:space="preserve">and our newest hit, </w:t>
      </w:r>
      <w:r>
        <w:rPr>
          <w:rFonts w:ascii="Arial;sans-serif" w:hAnsi="Arial;sans-serif"/>
          <w:b w:val="false"/>
          <w:i/>
          <w:color w:val="000000"/>
          <w:sz w:val="20"/>
        </w:rPr>
        <w:t xml:space="preserve">Match Factory!; </w:t>
      </w:r>
      <w:r>
        <w:rPr>
          <w:rFonts w:ascii="Arial;sans-serif" w:hAnsi="Arial;sans-serif"/>
          <w:b w:val="false"/>
          <w:color w:val="000000"/>
          <w:sz w:val="20"/>
        </w:rPr>
        <w:t xml:space="preserve">the </w:t>
      </w:r>
      <w:r>
        <w:rPr>
          <w:rFonts w:ascii="Arial;sans-serif" w:hAnsi="Arial;sans-serif"/>
          <w:b w:val="false"/>
          <w:i/>
          <w:color w:val="000000"/>
          <w:sz w:val="20"/>
        </w:rPr>
        <w:t>Red Dead Redemption</w:t>
      </w:r>
      <w:r>
        <w:rPr>
          <w:color w:val="000000"/>
        </w:rPr>
        <w:t xml:space="preserve"> </w:t>
      </w:r>
      <w:r>
        <w:rPr>
          <w:rFonts w:ascii="Arial;sans-serif" w:hAnsi="Arial;sans-serif"/>
          <w:b w:val="false"/>
          <w:color w:val="000000"/>
          <w:sz w:val="20"/>
        </w:rPr>
        <w:t xml:space="preserve">series and the </w:t>
      </w:r>
      <w:r>
        <w:rPr>
          <w:rFonts w:ascii="Arial;sans-serif" w:hAnsi="Arial;sans-serif"/>
          <w:b w:val="false"/>
          <w:i/>
          <w:color w:val="000000"/>
          <w:sz w:val="20"/>
        </w:rPr>
        <w:t xml:space="preserve">Grand Theft Auto </w:t>
      </w:r>
      <w:r>
        <w:rPr>
          <w:rFonts w:ascii="Arial;sans-serif" w:hAnsi="Arial;sans-serif"/>
          <w:b w:val="false"/>
          <w:color w:val="000000"/>
          <w:sz w:val="20"/>
        </w:rPr>
        <w:t>series," said Strauss Zelnick, Chairman and CEO of Take-Two.</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"As we enter Fiscal 2025 with positive momentum, we expect to deliver Net Bookings of $5.55 to $5.65 billion. Our outlook reflects a narrowing of Rockstar Games' previously established window of Calendar 2025 to Fall of Calendar 2025 for </w:t>
      </w:r>
      <w:r>
        <w:rPr>
          <w:rFonts w:ascii="Arial;sans-serif" w:hAnsi="Arial;sans-serif"/>
          <w:b w:val="false"/>
          <w:i/>
          <w:color w:val="000000"/>
          <w:sz w:val="20"/>
        </w:rPr>
        <w:t>Grand Theft Auto VI</w:t>
      </w:r>
      <w:r>
        <w:rPr>
          <w:rFonts w:ascii="Arial;sans-serif" w:hAnsi="Arial;sans-serif"/>
          <w:b w:val="false"/>
          <w:color w:val="000000"/>
          <w:sz w:val="20"/>
        </w:rPr>
        <w:t xml:space="preserve">. We are highly confident that Rockstar Games will deliver an unparalleled entertainment experience, and our expectations for the commercial impact of the title continue to increase. Looking ahead, we believe that our Company is poised to achieve new levels of success, and we expect to deliver sequential growth in Net Bookings for Fiscal 2025, 2026, and 2027. As we deliver our pipeline, we are confident that we will drive our scale, enhance our margins, and deliver industry-leading returns for our shareholders."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Fourth Quarter Fiscal 2024 Financial and Operational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Total Net Bookings* decreased 3% to $1.35 billion, as compared to $1.39 billion during last year’s fiscal fourth quarter.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Bookings from recurrent consumer spending** decreased 2% and accounted for 79% of total Net Bookings.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Net Bookings were </w:t>
      </w:r>
      <w:r>
        <w:rPr>
          <w:rFonts w:ascii="Arial;sans-serif" w:hAnsi="Arial;sans-serif"/>
          <w:b w:val="false"/>
          <w:i/>
          <w:color w:val="000000"/>
          <w:sz w:val="20"/>
        </w:rPr>
        <w:t>NBA® 2K24,</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Grand Theft Auto V, Toon Blast™</w:t>
      </w:r>
      <w:r>
        <w:rPr>
          <w:rFonts w:ascii="Arial;sans-serif" w:hAnsi="Arial;sans-serif"/>
          <w:b w:val="false"/>
          <w:color w:val="000000"/>
          <w:sz w:val="20"/>
        </w:rPr>
        <w:t xml:space="preserve">, </w:t>
      </w:r>
      <w:r>
        <w:rPr>
          <w:rFonts w:ascii="Arial;sans-serif" w:hAnsi="Arial;sans-serif"/>
          <w:b w:val="false"/>
          <w:i/>
          <w:color w:val="000000"/>
          <w:sz w:val="20"/>
        </w:rPr>
        <w:t xml:space="preserve">Empires &amp; Puzzles™, </w:t>
      </w:r>
      <w:r>
        <w:rPr>
          <w:rFonts w:ascii="Arial;sans-serif" w:hAnsi="Arial;sans-serif"/>
          <w:b w:val="false"/>
          <w:color w:val="000000"/>
          <w:sz w:val="20"/>
        </w:rPr>
        <w:t xml:space="preserve">our hyper-casual mobile portfolio, </w:t>
      </w:r>
      <w:r>
        <w:rPr>
          <w:rFonts w:ascii="Arial;sans-serif" w:hAnsi="Arial;sans-serif"/>
          <w:b w:val="false"/>
          <w:i/>
          <w:color w:val="000000"/>
          <w:sz w:val="20"/>
        </w:rPr>
        <w:t>Red Dead Redemption® 2</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Red Dead Online, WWE® 2K24</w:t>
      </w:r>
      <w:r>
        <w:rPr>
          <w:rFonts w:ascii="Arial;sans-serif" w:hAnsi="Arial;sans-serif"/>
          <w:b w:val="false"/>
          <w:color w:val="000000"/>
          <w:sz w:val="20"/>
        </w:rPr>
        <w:t xml:space="preserve">, </w:t>
      </w:r>
      <w:r>
        <w:rPr>
          <w:rFonts w:ascii="Arial;sans-serif" w:hAnsi="Arial;sans-serif"/>
          <w:b w:val="false"/>
          <w:i/>
          <w:color w:val="000000"/>
          <w:sz w:val="20"/>
        </w:rPr>
        <w:t xml:space="preserve">Match Factory!, Words With Friends™,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Merge Dragons!™.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GAAP net revenue decreased 3% to $1.40 billion, as compared to $1.45 billion in last year’s fiscal fourth</w:t>
      </w:r>
      <w:r>
        <w:rPr>
          <w:color w:val="000000"/>
        </w:rPr>
        <w:t xml:space="preserve"> </w:t>
      </w:r>
      <w:r>
        <w:rPr>
          <w:rFonts w:ascii="Arial;sans-serif" w:hAnsi="Arial;sans-serif"/>
          <w:b w:val="false"/>
          <w:color w:val="000000"/>
          <w:sz w:val="20"/>
        </w:rPr>
        <w:t xml:space="preserve">quarter.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Recurrent consumer spending** decreased 2% and accounted for 79% of total GAAP net revenue.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GAAP net revenue were </w:t>
      </w:r>
      <w:r>
        <w:rPr>
          <w:rFonts w:ascii="Arial;sans-serif" w:hAnsi="Arial;sans-serif"/>
          <w:b w:val="false"/>
          <w:i/>
          <w:color w:val="000000"/>
          <w:sz w:val="20"/>
        </w:rPr>
        <w:t xml:space="preserve">NBA 2K24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NBA 2K23,</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Grand Theft Auto V, Toon Blast, Empires &amp; Puzzles, </w:t>
      </w:r>
      <w:r>
        <w:rPr>
          <w:rFonts w:ascii="Arial;sans-serif" w:hAnsi="Arial;sans-serif"/>
          <w:b w:val="false"/>
          <w:color w:val="000000"/>
          <w:sz w:val="20"/>
        </w:rPr>
        <w:t>our hyper-casual mobile portfolio,</w:t>
      </w:r>
      <w:r>
        <w:rPr>
          <w:color w:val="000000"/>
        </w:rPr>
        <w:t xml:space="preserve"> </w:t>
      </w:r>
      <w:r>
        <w:rPr>
          <w:rFonts w:ascii="Arial;sans-serif" w:hAnsi="Arial;sans-serif"/>
          <w:b w:val="false"/>
          <w:i/>
          <w:color w:val="000000"/>
          <w:sz w:val="20"/>
        </w:rPr>
        <w:t xml:space="preserve">Red Dead Redemption 2 </w:t>
      </w:r>
      <w:r>
        <w:rPr>
          <w:rFonts w:ascii="Arial;sans-serif" w:hAnsi="Arial;sans-serif"/>
          <w:b w:val="false"/>
          <w:color w:val="000000"/>
          <w:sz w:val="20"/>
        </w:rPr>
        <w:t xml:space="preserve">and </w:t>
      </w:r>
      <w:r>
        <w:rPr>
          <w:rFonts w:ascii="Arial;sans-serif" w:hAnsi="Arial;sans-serif"/>
          <w:b w:val="false"/>
          <w:i/>
          <w:color w:val="000000"/>
          <w:sz w:val="20"/>
        </w:rPr>
        <w:t xml:space="preserve">Red Dead Online, WWE 2K24, Match Factory!, </w:t>
      </w:r>
      <w:r>
        <w:rPr>
          <w:rFonts w:ascii="Arial;sans-serif" w:hAnsi="Arial;sans-serif"/>
          <w:b w:val="false"/>
          <w:color w:val="000000"/>
          <w:sz w:val="20"/>
        </w:rPr>
        <w:t xml:space="preserve">and </w:t>
      </w:r>
      <w:r>
        <w:rPr>
          <w:rFonts w:ascii="Arial;sans-serif" w:hAnsi="Arial;sans-serif"/>
          <w:b w:val="false"/>
          <w:i/>
          <w:color w:val="000000"/>
          <w:sz w:val="20"/>
        </w:rPr>
        <w:t>Words With Friends.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GAAP net loss was $2.90 billion, or $17.02 per share, as compared to $610.3 million, or $3.62</w:t>
      </w:r>
      <w:r>
        <w:rPr>
          <w:color w:val="000000"/>
        </w:rPr>
        <w:t xml:space="preserve"> </w:t>
      </w:r>
      <w:r>
        <w:rPr>
          <w:rFonts w:ascii="Arial;sans-serif" w:hAnsi="Arial;sans-serif"/>
          <w:b w:val="false"/>
          <w:color w:val="000000"/>
          <w:sz w:val="20"/>
        </w:rPr>
        <w:t xml:space="preserve">per share, for the comparable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GAAP results include impairment charges of (i) $2.18 billion related to goodwill and (ii) $304.3 million for acquisition-related intangible assets, and business reorganization expenses of $93.3 million related to our cost-reduction program.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Net Bookings is our operational metric and defined as the net amount of products and services sold digitally or sold-in physically during the period, and includes licensing fees, merchandise, in-game advertising, strategy guides and publisher incentives.</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Recurrent consumer spending is generated from ongoing consumer engagement and includes virtual currency, add-on content, in-game purchases and in-game advertising.</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Fourth Quarter Fiscal 2024 Financial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following data is used internally by the Company’s management and Board of Directors to adjust the Company’s GAAP and Non-GAAP financial results in order to facilitate comparison of its operating performance between periods and to better understand its core business and future outlook: </w:t>
      </w:r>
    </w:p>
    <w:p>
      <w:pPr>
        <w:pStyle w:val="TextBody"/>
        <w:bidi w:val="0"/>
        <w:spacing w:before="0" w:after="0"/>
        <w:jc w:val="left"/>
        <w:rPr/>
      </w:pPr>
      <w:r>
        <w:rPr/>
      </w:r>
    </w:p>
    <w:tbl>
      <w:tblPr>
        <w:tblW w:w="10337" w:type="dxa"/>
        <w:jc w:val="left"/>
        <w:tblInd w:w="0" w:type="dxa"/>
        <w:tblLayout w:type="fixed"/>
        <w:tblCellMar>
          <w:top w:w="28" w:type="dxa"/>
          <w:left w:w="28" w:type="dxa"/>
          <w:bottom w:w="28" w:type="dxa"/>
          <w:right w:w="28" w:type="dxa"/>
        </w:tblCellMar>
      </w:tblPr>
      <w:tblGrid>
        <w:gridCol w:w="572"/>
        <w:gridCol w:w="239"/>
        <w:gridCol w:w="240"/>
        <w:gridCol w:w="109"/>
        <w:gridCol w:w="109"/>
        <w:gridCol w:w="109"/>
        <w:gridCol w:w="330"/>
        <w:gridCol w:w="330"/>
        <w:gridCol w:w="331"/>
        <w:gridCol w:w="109"/>
        <w:gridCol w:w="109"/>
        <w:gridCol w:w="109"/>
        <w:gridCol w:w="255"/>
        <w:gridCol w:w="255"/>
        <w:gridCol w:w="256"/>
        <w:gridCol w:w="109"/>
        <w:gridCol w:w="109"/>
        <w:gridCol w:w="109"/>
        <w:gridCol w:w="415"/>
        <w:gridCol w:w="415"/>
        <w:gridCol w:w="416"/>
        <w:gridCol w:w="109"/>
        <w:gridCol w:w="109"/>
        <w:gridCol w:w="109"/>
        <w:gridCol w:w="420"/>
        <w:gridCol w:w="420"/>
        <w:gridCol w:w="421"/>
        <w:gridCol w:w="109"/>
        <w:gridCol w:w="109"/>
        <w:gridCol w:w="109"/>
        <w:gridCol w:w="380"/>
        <w:gridCol w:w="380"/>
        <w:gridCol w:w="381"/>
        <w:gridCol w:w="109"/>
        <w:gridCol w:w="109"/>
        <w:gridCol w:w="109"/>
        <w:gridCol w:w="330"/>
        <w:gridCol w:w="330"/>
        <w:gridCol w:w="331"/>
        <w:gridCol w:w="109"/>
        <w:gridCol w:w="109"/>
        <w:gridCol w:w="109"/>
        <w:gridCol w:w="176"/>
        <w:gridCol w:w="176"/>
        <w:gridCol w:w="249"/>
      </w:tblGrid>
      <w:tr>
        <w:trPr/>
        <w:tc>
          <w:tcPr>
            <w:tcW w:w="5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 2024</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Stock-based compensation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Impact of business reorganization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and impairment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Business acquisition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(a)</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(2,713.1)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2,164.7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gain on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(2,744.6)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2,169.9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10.2</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(10.2)</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For management reporting purposes, the table above assumes a management tax rate of 18% and a fully diluted share count of 173.2 million in order to calculate diluted net income per share.</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Other includes adjustments for (i) the revaluation of the Turkish Lira against the U.S. Dollar and (ii) fair value adjustments related to certain equity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Year 2024 Financial and Operational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Total Net Bookings* increased 1% to $5.33 billion, as compared to $5.28 billion during last fiscal 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Bookings from recurrent consumer spending** increased 2% and accounted for 78% of total Net Bookings.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Net Bookings were </w:t>
      </w:r>
      <w:r>
        <w:rPr>
          <w:rFonts w:ascii="Arial;sans-serif" w:hAnsi="Arial;sans-serif"/>
          <w:b w:val="false"/>
          <w:i/>
          <w:color w:val="000000"/>
          <w:sz w:val="20"/>
        </w:rPr>
        <w:t>NBA 2K24,</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Grand Theft Auto V, Toon Blast</w:t>
      </w:r>
      <w:r>
        <w:rPr>
          <w:rFonts w:ascii="Arial;sans-serif" w:hAnsi="Arial;sans-serif"/>
          <w:b w:val="false"/>
          <w:color w:val="000000"/>
          <w:sz w:val="20"/>
        </w:rPr>
        <w:t xml:space="preserve">, </w:t>
      </w:r>
      <w:r>
        <w:rPr>
          <w:rFonts w:ascii="Arial;sans-serif" w:hAnsi="Arial;sans-serif"/>
          <w:b w:val="false"/>
          <w:i/>
          <w:color w:val="000000"/>
          <w:sz w:val="20"/>
        </w:rPr>
        <w:t xml:space="preserve">Empires &amp; Puzzles, </w:t>
      </w:r>
      <w:r>
        <w:rPr>
          <w:rFonts w:ascii="Arial;sans-serif" w:hAnsi="Arial;sans-serif"/>
          <w:b w:val="false"/>
          <w:color w:val="000000"/>
          <w:sz w:val="20"/>
        </w:rPr>
        <w:t xml:space="preserve">our hyper-casual mobile portfolio, </w:t>
      </w:r>
      <w:r>
        <w:rPr>
          <w:rFonts w:ascii="Arial;sans-serif" w:hAnsi="Arial;sans-serif"/>
          <w:b w:val="false"/>
          <w:i/>
          <w:color w:val="000000"/>
          <w:sz w:val="20"/>
        </w:rPr>
        <w:t>Red Dead Redemption 2</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Red Dead Online,</w:t>
      </w:r>
      <w:r>
        <w:rPr>
          <w:color w:val="000000"/>
        </w:rPr>
        <w:t xml:space="preserve"> </w:t>
      </w:r>
      <w:r>
        <w:rPr>
          <w:rFonts w:ascii="Arial;sans-serif" w:hAnsi="Arial;sans-serif"/>
          <w:b w:val="false"/>
          <w:i/>
          <w:color w:val="000000"/>
          <w:sz w:val="20"/>
        </w:rPr>
        <w:t xml:space="preserve">Words With Friends,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Merge Dragons!.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GAAP net revenue was flat at $5.35 billion when compared to last fiscal 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Recurrent consumer spending** increased 1% and accounted for 79% of total GAAP net revenue.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GAAP net revenue were </w:t>
      </w:r>
      <w:r>
        <w:rPr>
          <w:rFonts w:ascii="Arial;sans-serif" w:hAnsi="Arial;sans-serif"/>
          <w:b w:val="false"/>
          <w:i/>
          <w:color w:val="000000"/>
          <w:sz w:val="20"/>
        </w:rPr>
        <w:t xml:space="preserve">NBA 2K23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NBA 2K24,</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Grand Theft Auto V, Toon Blast, </w:t>
      </w:r>
      <w:r>
        <w:rPr>
          <w:rFonts w:ascii="Arial;sans-serif" w:hAnsi="Arial;sans-serif"/>
          <w:b w:val="false"/>
          <w:color w:val="000000"/>
          <w:sz w:val="20"/>
        </w:rPr>
        <w:t>our hyper-casual mobile portfolio,</w:t>
      </w:r>
      <w:r>
        <w:rPr>
          <w:color w:val="000000"/>
        </w:rPr>
        <w:t xml:space="preserve"> </w:t>
      </w:r>
      <w:r>
        <w:rPr>
          <w:rFonts w:ascii="Arial;sans-serif" w:hAnsi="Arial;sans-serif"/>
          <w:b w:val="false"/>
          <w:i/>
          <w:color w:val="000000"/>
          <w:sz w:val="20"/>
        </w:rPr>
        <w:t xml:space="preserve">Empires &amp; Puzzles, Red Dead Redemption 2 </w:t>
      </w:r>
      <w:r>
        <w:rPr>
          <w:rFonts w:ascii="Arial;sans-serif" w:hAnsi="Arial;sans-serif"/>
          <w:b w:val="false"/>
          <w:color w:val="000000"/>
          <w:sz w:val="20"/>
        </w:rPr>
        <w:t xml:space="preserve">and </w:t>
      </w:r>
      <w:r>
        <w:rPr>
          <w:rFonts w:ascii="Arial;sans-serif" w:hAnsi="Arial;sans-serif"/>
          <w:b w:val="false"/>
          <w:i/>
          <w:color w:val="000000"/>
          <w:sz w:val="20"/>
        </w:rPr>
        <w:t xml:space="preserve">Red Dead Online, Merge Dragons!, Words With Friends, </w:t>
      </w:r>
      <w:r>
        <w:rPr>
          <w:rFonts w:ascii="Arial;sans-serif" w:hAnsi="Arial;sans-serif"/>
          <w:b w:val="false"/>
          <w:color w:val="000000"/>
          <w:sz w:val="20"/>
        </w:rPr>
        <w:t xml:space="preserve">and </w:t>
      </w:r>
      <w:r>
        <w:rPr>
          <w:rFonts w:ascii="Arial;sans-serif" w:hAnsi="Arial;sans-serif"/>
          <w:b w:val="false"/>
          <w:i/>
          <w:color w:val="000000"/>
          <w:sz w:val="20"/>
        </w:rPr>
        <w:t>Zynga Poker</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GAAP net loss was $3.74 billion, or $22.01 per share, as compared to $1.12 billion, or $7.03 per share, for the comparable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GAAP results include impairment charges of (i) $2.34 billion related to goodwill and (ii) $577.4 million for acquisition-related intangible assets, and business reorganization expenses of $104.6 million related to our cost-reduction programs.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Fiscal Year 2024 Financial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following data is used internally by the Company’s management and Board of Directors to adjust the Company’s GAAP and Non-GAAP financial results in order to facilitate comparison of its operating performance between periods and to better understand its core business and future outlook: </w:t>
      </w:r>
    </w:p>
    <w:p>
      <w:pPr>
        <w:pStyle w:val="TextBody"/>
        <w:bidi w:val="0"/>
        <w:spacing w:before="0" w:after="0"/>
        <w:jc w:val="left"/>
        <w:rPr/>
      </w:pPr>
      <w:r>
        <w:rPr/>
      </w:r>
    </w:p>
    <w:tbl>
      <w:tblPr>
        <w:tblW w:w="10337" w:type="dxa"/>
        <w:jc w:val="left"/>
        <w:tblInd w:w="0" w:type="dxa"/>
        <w:tblLayout w:type="fixed"/>
        <w:tblCellMar>
          <w:top w:w="28" w:type="dxa"/>
          <w:left w:w="28" w:type="dxa"/>
          <w:bottom w:w="28" w:type="dxa"/>
          <w:right w:w="28" w:type="dxa"/>
        </w:tblCellMar>
      </w:tblPr>
      <w:tblGrid>
        <w:gridCol w:w="572"/>
        <w:gridCol w:w="239"/>
        <w:gridCol w:w="240"/>
        <w:gridCol w:w="109"/>
        <w:gridCol w:w="109"/>
        <w:gridCol w:w="109"/>
        <w:gridCol w:w="330"/>
        <w:gridCol w:w="330"/>
        <w:gridCol w:w="331"/>
        <w:gridCol w:w="109"/>
        <w:gridCol w:w="109"/>
        <w:gridCol w:w="109"/>
        <w:gridCol w:w="255"/>
        <w:gridCol w:w="255"/>
        <w:gridCol w:w="256"/>
        <w:gridCol w:w="109"/>
        <w:gridCol w:w="109"/>
        <w:gridCol w:w="109"/>
        <w:gridCol w:w="415"/>
        <w:gridCol w:w="415"/>
        <w:gridCol w:w="416"/>
        <w:gridCol w:w="109"/>
        <w:gridCol w:w="109"/>
        <w:gridCol w:w="109"/>
        <w:gridCol w:w="420"/>
        <w:gridCol w:w="420"/>
        <w:gridCol w:w="421"/>
        <w:gridCol w:w="109"/>
        <w:gridCol w:w="109"/>
        <w:gridCol w:w="109"/>
        <w:gridCol w:w="380"/>
        <w:gridCol w:w="380"/>
        <w:gridCol w:w="381"/>
        <w:gridCol w:w="109"/>
        <w:gridCol w:w="109"/>
        <w:gridCol w:w="109"/>
        <w:gridCol w:w="330"/>
        <w:gridCol w:w="330"/>
        <w:gridCol w:w="331"/>
        <w:gridCol w:w="109"/>
        <w:gridCol w:w="109"/>
        <w:gridCol w:w="109"/>
        <w:gridCol w:w="176"/>
        <w:gridCol w:w="176"/>
        <w:gridCol w:w="249"/>
      </w:tblGrid>
      <w:tr>
        <w:trPr/>
        <w:tc>
          <w:tcPr>
            <w:tcW w:w="5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Twelve Months Ended March 31, 2024</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Stock-based compensation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Impact of business reorganization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and impairment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Business acquisition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(a)</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$5,349.6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2,241.8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(1,303.5)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(3,590.6)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1,418.9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2,341.8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gain on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(3,702.8)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1,418.9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2,348.7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28.6</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28.6</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For management reporting purposes, the table above assumes a management tax rate of 18% and a fully diluted share count of 172.6 in order to calculate diluted net income per share.</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Other includes adjustments for (i) the revaluation of the Turkish Lira against the U.S. Dollar and (ii) fair value adjustments related to certain equity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Outlook for Fiscal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Take-Two is providing its initial outlook for the fiscal year ending March 31, 2025 and fiscal first quarter ending June 30,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Fiscal Year Ending March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3"/>
        <w:gridCol w:w="452"/>
        <w:gridCol w:w="453"/>
        <w:gridCol w:w="109"/>
        <w:gridCol w:w="109"/>
        <w:gridCol w:w="109"/>
        <w:gridCol w:w="493"/>
        <w:gridCol w:w="493"/>
        <w:gridCol w:w="356"/>
        <w:gridCol w:w="111"/>
        <w:gridCol w:w="111"/>
        <w:gridCol w:w="111"/>
        <w:gridCol w:w="544"/>
        <w:gridCol w:w="544"/>
        <w:gridCol w:w="546"/>
        <w:gridCol w:w="111"/>
        <w:gridCol w:w="111"/>
        <w:gridCol w:w="111"/>
        <w:gridCol w:w="489"/>
        <w:gridCol w:w="489"/>
        <w:gridCol w:w="490"/>
        <w:gridCol w:w="111"/>
        <w:gridCol w:w="111"/>
        <w:gridCol w:w="111"/>
        <w:gridCol w:w="111"/>
        <w:gridCol w:w="111"/>
        <w:gridCol w:w="514"/>
        <w:gridCol w:w="514"/>
        <w:gridCol w:w="515"/>
        <w:gridCol w:w="109"/>
        <w:gridCol w:w="109"/>
        <w:gridCol w:w="109"/>
        <w:gridCol w:w="191"/>
        <w:gridCol w:w="191"/>
        <w:gridCol w:w="283"/>
      </w:tblGrid>
      <w:tr>
        <w:trPr/>
        <w:tc>
          <w:tcPr>
            <w:tcW w:w="77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8"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Fiscal Year Ending March 31, 2025</w:t>
            </w:r>
          </w:p>
        </w:tc>
        <w:tc>
          <w:tcPr>
            <w:tcW w:w="992"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3"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c>
          <w:tcPr>
            <w:tcW w:w="992"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millions except for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Outlook </w:t>
            </w:r>
            <w:r>
              <w:rPr>
                <w:rFonts w:ascii="Arial;sans-serif" w:hAnsi="Arial;sans-serif"/>
                <w:b/>
                <w:color w:val="000000"/>
                <w:sz w:val="10"/>
              </w:rPr>
              <w:t>(1)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Stock-based compensation</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Other (a)</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$5,570 to $5,670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$2,431 to $2,457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$3,559 to $3,579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(306)</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(31)</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$111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w:t>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$(531) to $(477)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316</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35</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$(674) to $(606)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Net loss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$(3.90) to $(3.50)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Net cash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approximately $(20)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approximately $140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$429 to $483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316</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31</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Unrestricted Operating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approximately $(200)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Operational Metric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color w:val="000000"/>
                <w:sz w:val="16"/>
              </w:rPr>
              <w:t>$5,550 to $5,650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 reporting tax rate anticipated to be</w:t>
      </w:r>
      <w:r>
        <w:rPr>
          <w:color w:val="000000"/>
        </w:rPr>
        <w:t xml:space="preserve"> </w:t>
      </w:r>
      <w:r>
        <w:rPr>
          <w:rFonts w:ascii="Arial;sans-serif" w:hAnsi="Arial;sans-serif"/>
          <w:b w:val="false"/>
          <w:color w:val="000000"/>
          <w:sz w:val="20"/>
        </w:rPr>
        <w:t>18%</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Share count used to calculate GAAP net loss per share is expected to be 172.9 million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management reporting diluted net income per share is expected to be 175.3 million</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Other includes adjustments for (i) business reorganization expenses and (ii) deferred financing costs associated with our debt.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i/>
          <w:color w:val="000000"/>
          <w:sz w:val="20"/>
        </w:rPr>
        <w:t>First</w:t>
      </w:r>
      <w:r>
        <w:rPr>
          <w:color w:val="000000"/>
        </w:rPr>
        <w:t xml:space="preserve"> </w:t>
      </w:r>
      <w:r>
        <w:rPr>
          <w:rFonts w:ascii="Arial;sans-serif" w:hAnsi="Arial;sans-serif"/>
          <w:b/>
          <w:i/>
          <w:color w:val="000000"/>
          <w:sz w:val="20"/>
        </w:rPr>
        <w:t>Quarter Ending June 30,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3"/>
        <w:gridCol w:w="492"/>
        <w:gridCol w:w="494"/>
        <w:gridCol w:w="109"/>
        <w:gridCol w:w="109"/>
        <w:gridCol w:w="109"/>
        <w:gridCol w:w="310"/>
        <w:gridCol w:w="310"/>
        <w:gridCol w:w="311"/>
        <w:gridCol w:w="109"/>
        <w:gridCol w:w="109"/>
        <w:gridCol w:w="109"/>
        <w:gridCol w:w="624"/>
        <w:gridCol w:w="624"/>
        <w:gridCol w:w="626"/>
        <w:gridCol w:w="109"/>
        <w:gridCol w:w="109"/>
        <w:gridCol w:w="109"/>
        <w:gridCol w:w="509"/>
        <w:gridCol w:w="509"/>
        <w:gridCol w:w="510"/>
        <w:gridCol w:w="109"/>
        <w:gridCol w:w="109"/>
        <w:gridCol w:w="109"/>
        <w:gridCol w:w="551"/>
        <w:gridCol w:w="551"/>
        <w:gridCol w:w="553"/>
        <w:gridCol w:w="109"/>
        <w:gridCol w:w="109"/>
        <w:gridCol w:w="109"/>
        <w:gridCol w:w="199"/>
        <w:gridCol w:w="199"/>
        <w:gridCol w:w="201"/>
        <w:gridCol w:w="109"/>
        <w:gridCol w:w="165"/>
      </w:tblGrid>
      <w:tr>
        <w:trPr/>
        <w:tc>
          <w:tcPr>
            <w:tcW w:w="72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Ending June 30, 2024</w:t>
            </w:r>
          </w:p>
        </w:tc>
        <w:tc>
          <w:tcPr>
            <w:tcW w:w="274"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millions except for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Outlook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GAAP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$1,300 to $1,350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$559 to $578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$928 to $938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$(214) to $(193)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26</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$(272) to $(245)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$(1.58) to $(1.43)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$26 to $47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$1,200 to $1,250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 reporting tax rate is anticipated to be 18%</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GAAP net loss per share is expected to be 171.7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management reporting diluted net income per share is expected to be 173.7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Other includes adjustments for (i) business reorganization expenses and (ii) deferred financing costs associated with our debt.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individual components of the financial outlook may not foot to the totals, as the Company does not expect actual results for every component to be at the low end or high end of the outlook range simultaneously.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Key assumptions and dependencies underlying the Company’s outlook include: a continuation of the current economic backdrop; the timely delivery of the titles included in this financial outlook; continued growth in the installed base of PlayStation 5 and Xbox Series X|S, as well as engagement on Xbox One and PlayStation 4; the ability to develop and publish products that capture market share for these current generation systems while also leveraging opportunities on PC, mobile and other platforms; factors affecting our performance on mobile, such as player acquisition costs; our ongoing focus on our live services portfolio and new game pipeline; and stable foreign exchange rates. See also “Cautionary Note Regarding Forward Looking Statements”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Product Releases</w:t>
      </w:r>
    </w:p>
    <w:p>
      <w:pPr>
        <w:pStyle w:val="TextBody"/>
        <w:bidi w:val="0"/>
        <w:spacing w:before="0" w:after="0"/>
        <w:ind w:left="0" w:right="0" w:firstLine="994"/>
        <w:jc w:val="left"/>
        <w:rPr/>
      </w:pPr>
      <w:r>
        <w:rPr/>
      </w:r>
    </w:p>
    <w:p>
      <w:pPr>
        <w:pStyle w:val="TextBody"/>
        <w:bidi w:val="0"/>
        <w:spacing w:lineRule="auto" w:line="288" w:before="0" w:after="0"/>
        <w:ind w:left="0" w:right="0" w:firstLine="994"/>
        <w:jc w:val="left"/>
        <w:rPr>
          <w:rFonts w:ascii="Arial;sans-serif" w:hAnsi="Arial;sans-serif"/>
          <w:b w:val="false"/>
          <w:color w:val="000000"/>
          <w:sz w:val="20"/>
        </w:rPr>
      </w:pPr>
      <w:r>
        <w:rPr>
          <w:rFonts w:ascii="Arial;sans-serif" w:hAnsi="Arial;sans-serif"/>
          <w:b w:val="false"/>
          <w:color w:val="000000"/>
          <w:sz w:val="20"/>
        </w:rPr>
        <w:t>The following have been released since January 1, 2024:</w:t>
      </w:r>
    </w:p>
    <w:p>
      <w:pPr>
        <w:pStyle w:val="TextBody"/>
        <w:bidi w:val="0"/>
        <w:spacing w:before="0" w:after="0"/>
        <w:jc w:val="left"/>
        <w:rPr/>
      </w:pPr>
      <w:r>
        <w:rPr/>
      </w:r>
    </w:p>
    <w:tbl>
      <w:tblPr>
        <w:tblW w:w="8608" w:type="dxa"/>
        <w:jc w:val="center"/>
        <w:tblInd w:w="0" w:type="dxa"/>
        <w:tblLayout w:type="fixed"/>
        <w:tblCellMar>
          <w:top w:w="28" w:type="dxa"/>
          <w:left w:w="28" w:type="dxa"/>
          <w:bottom w:w="28" w:type="dxa"/>
          <w:right w:w="28" w:type="dxa"/>
        </w:tblCellMar>
      </w:tblPr>
      <w:tblGrid>
        <w:gridCol w:w="504"/>
        <w:gridCol w:w="443"/>
        <w:gridCol w:w="448"/>
        <w:gridCol w:w="672"/>
        <w:gridCol w:w="672"/>
        <w:gridCol w:w="680"/>
        <w:gridCol w:w="1179"/>
        <w:gridCol w:w="1179"/>
        <w:gridCol w:w="1182"/>
        <w:gridCol w:w="483"/>
        <w:gridCol w:w="483"/>
        <w:gridCol w:w="6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Label</w:t>
            </w:r>
          </w:p>
        </w:tc>
        <w:tc>
          <w:tcPr>
            <w:tcW w:w="2024"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Product</w:t>
            </w:r>
          </w:p>
        </w:tc>
        <w:tc>
          <w:tcPr>
            <w:tcW w:w="354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Platforms</w:t>
            </w:r>
          </w:p>
        </w:tc>
        <w:tc>
          <w:tcPr>
            <w:tcW w:w="1649"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Release Date</w:t>
            </w:r>
          </w:p>
        </w:tc>
      </w:tr>
      <w:tr>
        <w:trPr/>
        <w:tc>
          <w:tcPr>
            <w:tcW w:w="1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Private Division</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Penny's Big Breakaway</w:t>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 Switch</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21, 2024</w:t>
            </w:r>
          </w:p>
        </w:tc>
      </w:tr>
      <w:tr>
        <w:trPr/>
        <w:tc>
          <w:tcPr>
            <w:tcW w:w="1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WWE 2K24</w:t>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PS4, PS5, Xbox One, Xbox Series X|S, PC</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8, 2024</w:t>
            </w:r>
          </w:p>
        </w:tc>
      </w:tr>
      <w:tr>
        <w:trPr/>
        <w:tc>
          <w:tcPr>
            <w:tcW w:w="1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Private Division</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No Rest for the Wicked</w:t>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Early Access on PC</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April 18, 2024</w:t>
            </w:r>
          </w:p>
        </w:tc>
      </w:tr>
      <w:tr>
        <w:trPr/>
        <w:tc>
          <w:tcPr>
            <w:tcW w:w="1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xml:space="preserve">NFL 2K Playmakers </w:t>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iOs, Android</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April 23, 2024</w:t>
            </w:r>
          </w:p>
        </w:tc>
      </w:tr>
      <w:tr>
        <w:trPr/>
        <w:tc>
          <w:tcPr>
            <w:tcW w:w="13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20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TopSpin 2K25</w:t>
            </w:r>
          </w:p>
        </w:tc>
        <w:tc>
          <w:tcPr>
            <w:tcW w:w="35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PS4, PS5, Xbox One, Xbox Series X|S, PC</w:t>
            </w:r>
          </w:p>
        </w:tc>
        <w:tc>
          <w:tcPr>
            <w:tcW w:w="16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April 26, 2024</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54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54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Take-Two's future lineup announced to-date includes:</w:t>
      </w:r>
    </w:p>
    <w:tbl>
      <w:tblPr>
        <w:tblW w:w="10205" w:type="dxa"/>
        <w:jc w:val="center"/>
        <w:tblInd w:w="0" w:type="dxa"/>
        <w:tblLayout w:type="fixed"/>
        <w:tblCellMar>
          <w:top w:w="28" w:type="dxa"/>
          <w:left w:w="28" w:type="dxa"/>
          <w:bottom w:w="28" w:type="dxa"/>
          <w:right w:w="28" w:type="dxa"/>
        </w:tblCellMar>
      </w:tblPr>
      <w:tblGrid>
        <w:gridCol w:w="599"/>
        <w:gridCol w:w="524"/>
        <w:gridCol w:w="530"/>
        <w:gridCol w:w="1307"/>
        <w:gridCol w:w="1307"/>
        <w:gridCol w:w="1312"/>
        <w:gridCol w:w="915"/>
        <w:gridCol w:w="915"/>
        <w:gridCol w:w="918"/>
        <w:gridCol w:w="549"/>
        <w:gridCol w:w="547"/>
        <w:gridCol w:w="782"/>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Label</w:t>
            </w:r>
          </w:p>
        </w:tc>
        <w:tc>
          <w:tcPr>
            <w:tcW w:w="3926"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Product</w:t>
            </w:r>
          </w:p>
        </w:tc>
        <w:tc>
          <w:tcPr>
            <w:tcW w:w="2748"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Platforms</w:t>
            </w:r>
          </w:p>
        </w:tc>
        <w:tc>
          <w:tcPr>
            <w:tcW w:w="1878"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Release Date</w:t>
            </w:r>
          </w:p>
        </w:tc>
      </w:tr>
      <w:tr>
        <w:trPr/>
        <w:tc>
          <w:tcPr>
            <w:tcW w:w="1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Zynga</w:t>
            </w:r>
          </w:p>
        </w:tc>
        <w:tc>
          <w:tcPr>
            <w:tcW w:w="39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Star Wars Hunters</w:t>
            </w:r>
          </w:p>
        </w:tc>
        <w:tc>
          <w:tcPr>
            <w:tcW w:w="27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iOS, Android, Switch</w:t>
            </w:r>
          </w:p>
        </w:tc>
        <w:tc>
          <w:tcPr>
            <w:tcW w:w="18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June 4, 2024</w:t>
            </w:r>
          </w:p>
        </w:tc>
      </w:tr>
      <w:tr>
        <w:trPr/>
        <w:tc>
          <w:tcPr>
            <w:tcW w:w="1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Zynga</w:t>
            </w:r>
          </w:p>
        </w:tc>
        <w:tc>
          <w:tcPr>
            <w:tcW w:w="39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Game of Thrones: Legends</w:t>
            </w:r>
          </w:p>
        </w:tc>
        <w:tc>
          <w:tcPr>
            <w:tcW w:w="27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iOs, Android</w:t>
            </w:r>
          </w:p>
        </w:tc>
        <w:tc>
          <w:tcPr>
            <w:tcW w:w="18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Fiscal 2025</w:t>
            </w:r>
          </w:p>
        </w:tc>
      </w:tr>
      <w:tr>
        <w:trPr/>
        <w:tc>
          <w:tcPr>
            <w:tcW w:w="1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Private Division</w:t>
            </w:r>
          </w:p>
        </w:tc>
        <w:tc>
          <w:tcPr>
            <w:tcW w:w="39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Tales of the Shire: A The Lord of the Rings Game</w:t>
            </w:r>
          </w:p>
        </w:tc>
        <w:tc>
          <w:tcPr>
            <w:tcW w:w="27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 Switch</w:t>
            </w:r>
          </w:p>
        </w:tc>
        <w:tc>
          <w:tcPr>
            <w:tcW w:w="18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Fiscal 2025</w:t>
            </w:r>
          </w:p>
        </w:tc>
      </w:tr>
      <w:tr>
        <w:trPr/>
        <w:tc>
          <w:tcPr>
            <w:tcW w:w="1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39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NBA 2K25</w:t>
            </w:r>
          </w:p>
        </w:tc>
        <w:tc>
          <w:tcPr>
            <w:tcW w:w="27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8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Fiscal 2025</w:t>
            </w:r>
          </w:p>
        </w:tc>
      </w:tr>
      <w:tr>
        <w:trPr/>
        <w:tc>
          <w:tcPr>
            <w:tcW w:w="1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39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WWE 2K25</w:t>
            </w:r>
          </w:p>
        </w:tc>
        <w:tc>
          <w:tcPr>
            <w:tcW w:w="27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8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Fiscal 2025</w:t>
            </w:r>
          </w:p>
        </w:tc>
      </w:tr>
      <w:tr>
        <w:trPr/>
        <w:tc>
          <w:tcPr>
            <w:tcW w:w="1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Rockstar Games</w:t>
            </w:r>
          </w:p>
        </w:tc>
        <w:tc>
          <w:tcPr>
            <w:tcW w:w="39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Grand Theft Auto VI</w:t>
            </w:r>
          </w:p>
        </w:tc>
        <w:tc>
          <w:tcPr>
            <w:tcW w:w="27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w:t>
            </w:r>
          </w:p>
        </w:tc>
        <w:tc>
          <w:tcPr>
            <w:tcW w:w="18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Fall of Calendar 2025</w:t>
            </w:r>
          </w:p>
        </w:tc>
      </w:tr>
      <w:tr>
        <w:trPr/>
        <w:tc>
          <w:tcPr>
            <w:tcW w:w="16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Ghost Story Games</w:t>
            </w:r>
          </w:p>
        </w:tc>
        <w:tc>
          <w:tcPr>
            <w:tcW w:w="39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Judas</w:t>
            </w:r>
          </w:p>
        </w:tc>
        <w:tc>
          <w:tcPr>
            <w:tcW w:w="27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w:t>
            </w:r>
          </w:p>
        </w:tc>
        <w:tc>
          <w:tcPr>
            <w:tcW w:w="187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Conference Call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Take-Two will host a conference call today at 4:30 p.m. Eastern Time to review these results and discuss other topics. The call can be accessed by dialing (877) 407-0984 or (201) 689-8577. A live listen-only webcast of the call will be available by visiting </w:t>
      </w:r>
      <w:r>
        <w:rPr>
          <w:rFonts w:ascii="Arial;sans-serif" w:hAnsi="Arial;sans-serif"/>
          <w:b w:val="false"/>
          <w:color w:val="0000FF"/>
          <w:sz w:val="20"/>
          <w:u w:val="single"/>
        </w:rPr>
        <w:t>http://ir.take2games.com</w:t>
      </w:r>
      <w:r>
        <w:rPr>
          <w:color w:val="000000"/>
        </w:rPr>
        <w:t xml:space="preserve"> </w:t>
      </w:r>
      <w:r>
        <w:rPr>
          <w:rFonts w:ascii="Arial;sans-serif" w:hAnsi="Arial;sans-serif"/>
          <w:b w:val="false"/>
          <w:color w:val="000000"/>
          <w:sz w:val="20"/>
        </w:rPr>
        <w:t xml:space="preserve">and a replay will be available following the call at the same location.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 xml:space="preserve">Non-GAAP Financial Measures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addition to reporting financial results in accordance with U.S. generally accepted accounting principles (GAAP), the Company uses Non-GAAP measures of financial performance: </w:t>
      </w:r>
      <w:r>
        <w:rPr>
          <w:rFonts w:ascii="Arial;sans-serif" w:hAnsi="Arial;sans-serif"/>
          <w:b/>
          <w:i/>
          <w:color w:val="000000"/>
          <w:sz w:val="20"/>
        </w:rPr>
        <w:t>Adjusted Unrestricted Operating Cash Flow</w:t>
      </w:r>
      <w:r>
        <w:rPr>
          <w:rFonts w:ascii="Arial;sans-serif" w:hAnsi="Arial;sans-serif"/>
          <w:b w:val="false"/>
          <w:color w:val="000000"/>
          <w:sz w:val="20"/>
        </w:rPr>
        <w:t xml:space="preserve">, which is defined as GAAP net cash from operating activities, adjusted for changes in restricted cash, and </w:t>
      </w:r>
      <w:r>
        <w:rPr>
          <w:rFonts w:ascii="Arial;sans-serif" w:hAnsi="Arial;sans-serif"/>
          <w:b/>
          <w:i/>
          <w:color w:val="000000"/>
          <w:sz w:val="20"/>
        </w:rPr>
        <w:t>EBITDA</w:t>
      </w:r>
      <w:r>
        <w:rPr>
          <w:rFonts w:ascii="Arial;sans-serif" w:hAnsi="Arial;sans-serif"/>
          <w:b w:val="false"/>
          <w:color w:val="000000"/>
          <w:sz w:val="20"/>
        </w:rPr>
        <w:t>, which is defined as GAAP net income (loss) excluding interest income (expense), provision for (benefit from) income taxes, depreciation expense, and amortization and impairment of acquired intangibles.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management believes it is important to consider Adjusted Unrestricted Operating Cash Flow, in addition to net cash from operating activities, as it provides more transparency into current business trends without regard to the timing of payments from restricted cash, which is primarily related to a dedicated account limited to the payment of certain internal royalty obligations.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management believes it is important to consider EBITDA, in addition to net income, as it removes the effect of certain non-cash expenses, debt-related charges, and income taxes. Management believes that, when considered together with reported amounts, EBITDA is useful to investors and management in understanding the Company’s ongoing operations and in analysis of ongoing operating trends and provides useful additional information relating to the Company’s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Non-GAAP financial measures are not intended to be considered in isolation from, as a substitute for, or superior to, GAAP results. These Non-GAAP financial measures may be different from similarly titled measures used by other companies. In the future, Take-Two may also consider whether other items should also be excluded in calculating these Non-GAAP financial measures used by the Company. Management believes that the presentation of these Non-GAAP financial measures provides investors with additional useful information to measure Take-Two's financial and operating performance. In particular, these measures facilitate comparison of our operating performance between periods and may help investors to understand better the operating results of Take-Two. Internally, management uses these Non-GAAP financial measures in assessing the Company's operating results and in planning and forecasting. A reconciliation of these Non-GAAP financial measures to the most comparable GAAP measure is contained in the financial tables to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Final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financial results discussed herein are presented on a preliminary basis; final data will be included in Take-Two’s Annual Report on Form 10−K for the period ended March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About Take-Two Interactive Software</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Zynga. Our products are designed for console gaming systems, PC, and mobile, including smartphones and tablets. We deliver our products through physical retail, digital download, online platforms, and cloud streaming services.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0"/>
        </w:rPr>
        <w:t xml:space="preserve">Company’s common stock is publicly traded on NASDAQ under the symbol TTWO. For more corporate and product information please visit our website at </w:t>
      </w:r>
      <w:r>
        <w:rPr>
          <w:rFonts w:ascii="Arial;sans-serif" w:hAnsi="Arial;sans-serif"/>
          <w:b w:val="false"/>
          <w:color w:val="0000FF"/>
          <w:sz w:val="20"/>
          <w:u w:val="single"/>
        </w:rPr>
        <w:t>http://www.take2games.com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All trademarks and copyrights contained herein are the property of their respective holders. </w: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Cautionary Note Regarding Forward-Looking Statements</w:t>
      </w:r>
    </w:p>
    <w:p>
      <w:pPr>
        <w:pStyle w:val="TextBody"/>
        <w:bidi w:val="0"/>
        <w:spacing w:lineRule="auto" w:line="268" w:before="160" w:after="160"/>
        <w:jc w:val="both"/>
        <w:rPr/>
      </w:pPr>
      <w:r>
        <w:rPr>
          <w:rFonts w:ascii="Arial;sans-serif" w:hAnsi="Arial;sans-serif"/>
          <w:b w:val="false"/>
          <w:color w:val="000000"/>
          <w:sz w:val="20"/>
        </w:rPr>
        <w:t xml:space="preserve">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our combination with Zynga Inc.;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Arial;sans-serif" w:hAnsi="Arial;sans-serif"/>
          <w:b w:val="false"/>
          <w:i/>
          <w:color w:val="000000"/>
          <w:sz w:val="20"/>
        </w:rPr>
        <w:t>NBA 2K</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Grand Theft Aut</w:t>
      </w:r>
      <w:r>
        <w:rPr>
          <w:rFonts w:ascii="Arial;sans-serif" w:hAnsi="Arial;sans-serif"/>
          <w:b w:val="false"/>
          <w:color w:val="000000"/>
          <w:sz w:val="20"/>
        </w:rPr>
        <w:t>o products and our ability to develop other hit titles; our ability to leverage opportunities on PlayStation®5 and Xbox Series X|S; factors affecting our mobile business, such as player acquisition costs; the timely release and significant market acceptance of our games; and the ability to maintain acceptable pricing levels on our games.</w:t>
      </w:r>
    </w:p>
    <w:p>
      <w:pPr>
        <w:pStyle w:val="TextBody"/>
        <w:bidi w:val="0"/>
        <w:spacing w:lineRule="auto" w:line="288" w:before="0" w:after="0"/>
        <w:jc w:val="left"/>
        <w:rPr/>
      </w:pPr>
      <w:r>
        <w:rPr>
          <w:rFonts w:ascii="Arial;sans-serif" w:hAnsi="Arial;sans-serif"/>
          <w:b w:val="false"/>
          <w:color w:val="000000"/>
          <w:sz w:val="20"/>
        </w:rPr>
        <w:t xml:space="preserve">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Arial;sans-serif" w:hAnsi="Arial;sans-serif"/>
          <w:b w:val="false"/>
          <w:color w:val="0000FF"/>
          <w:sz w:val="20"/>
          <w:u w:val="single"/>
        </w:rPr>
        <w:t>www.take2games.com</w:t>
      </w:r>
      <w:r>
        <w:rPr>
          <w:rFonts w:ascii="Arial;sans-serif" w:hAnsi="Arial;sans-serif"/>
          <w:b w:val="false"/>
          <w:color w:val="000000"/>
          <w:sz w:val="20"/>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tbl>
      <w:tblPr>
        <w:tblW w:w="9857" w:type="dxa"/>
        <w:jc w:val="left"/>
        <w:tblInd w:w="0" w:type="dxa"/>
        <w:tblLayout w:type="fixed"/>
        <w:tblCellMar>
          <w:top w:w="28" w:type="dxa"/>
          <w:left w:w="28" w:type="dxa"/>
          <w:bottom w:w="28" w:type="dxa"/>
          <w:right w:w="28" w:type="dxa"/>
        </w:tblCellMar>
      </w:tblPr>
      <w:tblGrid>
        <w:gridCol w:w="1260"/>
        <w:gridCol w:w="1109"/>
        <w:gridCol w:w="1111"/>
        <w:gridCol w:w="109"/>
        <w:gridCol w:w="109"/>
        <w:gridCol w:w="109"/>
        <w:gridCol w:w="228"/>
        <w:gridCol w:w="911"/>
        <w:gridCol w:w="118"/>
        <w:gridCol w:w="118"/>
        <w:gridCol w:w="118"/>
        <w:gridCol w:w="118"/>
        <w:gridCol w:w="228"/>
        <w:gridCol w:w="830"/>
        <w:gridCol w:w="118"/>
        <w:gridCol w:w="109"/>
        <w:gridCol w:w="109"/>
        <w:gridCol w:w="109"/>
        <w:gridCol w:w="230"/>
        <w:gridCol w:w="918"/>
        <w:gridCol w:w="118"/>
        <w:gridCol w:w="118"/>
        <w:gridCol w:w="118"/>
        <w:gridCol w:w="118"/>
        <w:gridCol w:w="230"/>
        <w:gridCol w:w="918"/>
        <w:gridCol w:w="168"/>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85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TAKE-TWO INTERACTIVE SOFTWARE, INC.</w:t>
            </w:r>
          </w:p>
        </w:tc>
      </w:tr>
      <w:tr>
        <w:trPr/>
        <w:tc>
          <w:tcPr>
            <w:tcW w:w="985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tc>
      </w:tr>
      <w:tr>
        <w:trPr/>
        <w:tc>
          <w:tcPr>
            <w:tcW w:w="985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March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1,260.6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4,693.5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138.8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656.1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1,399.4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5,349.6</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474.7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1,301.1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210.7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756.6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and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88.2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346.7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305.8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397.6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930.3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3,107.8</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469.1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2,241.8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448.8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1,550.2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948.2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716.1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171.2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2,176.7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2,342.1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93.3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104.6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3,182.2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5,832.4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(2,713.1)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(3,590.6)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(2,744.6)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(3,702.8)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(2,903.0)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(3,744.2)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(22.01)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170.6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170.1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32"/>
        <w:gridCol w:w="2097"/>
        <w:gridCol w:w="2105"/>
        <w:gridCol w:w="242"/>
        <w:gridCol w:w="986"/>
        <w:gridCol w:w="134"/>
        <w:gridCol w:w="134"/>
        <w:gridCol w:w="134"/>
        <w:gridCol w:w="134"/>
        <w:gridCol w:w="242"/>
        <w:gridCol w:w="968"/>
        <w:gridCol w:w="197"/>
      </w:tblGrid>
      <w:tr>
        <w:trPr/>
        <w:tc>
          <w:tcPr>
            <w:tcW w:w="283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TAKE-TWO INTERACTIVE SOFTWARE,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754.0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252.1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$1.2 and $1.3 at March 31, 2024 and 2023, respectively</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679.7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and licenses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88.3</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85.0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378.6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2,259.7</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 net</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411.1</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325.7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and licenses, net of current portion</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1,446.5</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4,426.4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6,767.1 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 net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3,060.6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restricted cash and cash equivalents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95.9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189.1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12,216.9</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15,862.1 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195.9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1,062.6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1,059.5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Lease liabilities </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63.8</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2,406.4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3,058.3</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deferred revenue</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42.9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lease liabilities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387.3</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software development royalties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102.1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340.9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211.1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6,549.0</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5.0 shares authorized: no shares issued and outstanding at March 31, 2024 and 2023</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300.0 and 300.0 shares authorized; 194.5 and 192.6 shares issued and 170.8 and 168.9 outstanding at March 31, 2024 and 2023, respectively</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9,371.6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23.7 and 23.7 common shares at March 31, 2024 and 2023, respectively</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(1,020.6)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 / Retained earnings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(2,579.9)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(105.1)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5,667.9</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12,216.9</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15,862.1 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73"/>
        <w:gridCol w:w="2005"/>
        <w:gridCol w:w="2013"/>
        <w:gridCol w:w="143"/>
        <w:gridCol w:w="143"/>
        <w:gridCol w:w="143"/>
        <w:gridCol w:w="258"/>
        <w:gridCol w:w="997"/>
        <w:gridCol w:w="143"/>
        <w:gridCol w:w="143"/>
        <w:gridCol w:w="143"/>
        <w:gridCol w:w="143"/>
        <w:gridCol w:w="258"/>
        <w:gridCol w:w="997"/>
        <w:gridCol w:w="143"/>
        <w:gridCol w:w="160"/>
      </w:tblGrid>
      <w:tr>
        <w:trPr/>
        <w:tc>
          <w:tcPr>
            <w:tcW w:w="2373"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TAKE-TWO INTERACTIVE SOFTWARE, INC.</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March 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(3,744.2)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impairment of software development costs and licenses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292.7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335.6</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61.1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impairment of intangibles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1,418.9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135.5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2,342.1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140.6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(150.4)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effect from purchases of businesses: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83.7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and licenses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(603.4)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other current and other non-current assets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(154.7)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(200.9)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bank time deposits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19.8</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and maturities of available-for-sale securities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146.9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securities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fixed assets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(141.7)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long-term investments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long-term investments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(18.5)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(28.2)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payment related to net share settlements on restricted stock awards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39.4</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debt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(1,339.6)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capped calls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settlement of convertible notes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1,348.9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earn-out consideration</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(91.4)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Effects of foreign currency exchange rates on cash, cash equivalents, and restricted cash and cash equivalents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 and cash equivalents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(132.6)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and cash equivalents, beginning of year (1)</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1,234.6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equivalents, end of year (1)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1,102.0</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Cash, cash equivalents and restricted cash and cash equivalents shown on our Consolidated Statements of Cash Flow includes amounts in the Cash and cash equivalents, Restricted cash and cash equivalents, and Long-term restricted cash and cash equivalents on our Consolidated Balance Sheet.</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43"/>
        <w:gridCol w:w="800"/>
        <w:gridCol w:w="784"/>
        <w:gridCol w:w="181"/>
        <w:gridCol w:w="181"/>
        <w:gridCol w:w="181"/>
        <w:gridCol w:w="351"/>
        <w:gridCol w:w="1302"/>
        <w:gridCol w:w="181"/>
        <w:gridCol w:w="181"/>
        <w:gridCol w:w="181"/>
        <w:gridCol w:w="181"/>
        <w:gridCol w:w="367"/>
        <w:gridCol w:w="264"/>
        <w:gridCol w:w="501"/>
        <w:gridCol w:w="181"/>
        <w:gridCol w:w="181"/>
        <w:gridCol w:w="181"/>
        <w:gridCol w:w="351"/>
        <w:gridCol w:w="1277"/>
        <w:gridCol w:w="181"/>
        <w:gridCol w:w="109"/>
        <w:gridCol w:w="109"/>
        <w:gridCol w:w="109"/>
        <w:gridCol w:w="249"/>
        <w:gridCol w:w="217"/>
        <w:gridCol w:w="481"/>
      </w:tblGrid>
      <w:tr>
        <w:trPr/>
        <w:tc>
          <w:tcPr>
            <w:tcW w:w="9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93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and Net Bookings by Geographic Region, Distribution Channel, and Platform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2024</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 2023</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geographic region</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861.4</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538.0</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1,399.4</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geographic region</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818.8</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530.0</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1,348.8</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2024</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 2023</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distribution channel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1,335.2</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95</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64.2</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1,399.4</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distribution channel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1,291.6</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57.2</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1,348.8</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2024</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 2023</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platform</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715.1</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568.7</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115.6</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1,399.4</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platform</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708.3</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527.4</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113.1</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1,348.8</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43"/>
        <w:gridCol w:w="800"/>
        <w:gridCol w:w="784"/>
        <w:gridCol w:w="181"/>
        <w:gridCol w:w="181"/>
        <w:gridCol w:w="181"/>
        <w:gridCol w:w="351"/>
        <w:gridCol w:w="1302"/>
        <w:gridCol w:w="181"/>
        <w:gridCol w:w="181"/>
        <w:gridCol w:w="181"/>
        <w:gridCol w:w="181"/>
        <w:gridCol w:w="367"/>
        <w:gridCol w:w="264"/>
        <w:gridCol w:w="501"/>
        <w:gridCol w:w="181"/>
        <w:gridCol w:w="181"/>
        <w:gridCol w:w="181"/>
        <w:gridCol w:w="351"/>
        <w:gridCol w:w="1277"/>
        <w:gridCol w:w="181"/>
        <w:gridCol w:w="109"/>
        <w:gridCol w:w="109"/>
        <w:gridCol w:w="109"/>
        <w:gridCol w:w="249"/>
        <w:gridCol w:w="217"/>
        <w:gridCol w:w="481"/>
      </w:tblGrid>
      <w:tr>
        <w:trPr/>
        <w:tc>
          <w:tcPr>
            <w:tcW w:w="9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93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and Net Bookings by Geographic Region, Distribution Channel, and Platform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March 31, 2024</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 2023</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geographic region</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3,279.2</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2,070.4</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5,349.6</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geographic region</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3,247.4</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2,085.6</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5,333.0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March 31, 2024</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 2023</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distribution channel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5,112.2</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237.4</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5,349.6</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distribution channel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5,097.3</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235.7</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5,333.0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March 31, 2024</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 2023</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platform</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2,748.0</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2,167.3</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434.3</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5,349.6</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platform</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2,757.7</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2,149.8</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425.5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5,333.0</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835" w:type="dxa"/>
        <w:jc w:val="left"/>
        <w:tblInd w:w="0" w:type="dxa"/>
        <w:tblLayout w:type="fixed"/>
        <w:tblCellMar>
          <w:top w:w="28" w:type="dxa"/>
          <w:left w:w="28" w:type="dxa"/>
          <w:bottom w:w="28" w:type="dxa"/>
          <w:right w:w="28" w:type="dxa"/>
        </w:tblCellMar>
      </w:tblPr>
      <w:tblGrid>
        <w:gridCol w:w="430"/>
        <w:gridCol w:w="377"/>
        <w:gridCol w:w="379"/>
        <w:gridCol w:w="341"/>
        <w:gridCol w:w="706"/>
        <w:gridCol w:w="109"/>
        <w:gridCol w:w="109"/>
        <w:gridCol w:w="109"/>
        <w:gridCol w:w="109"/>
        <w:gridCol w:w="341"/>
        <w:gridCol w:w="571"/>
        <w:gridCol w:w="109"/>
        <w:gridCol w:w="109"/>
        <w:gridCol w:w="109"/>
        <w:gridCol w:w="109"/>
        <w:gridCol w:w="371"/>
        <w:gridCol w:w="571"/>
        <w:gridCol w:w="109"/>
        <w:gridCol w:w="109"/>
        <w:gridCol w:w="109"/>
        <w:gridCol w:w="109"/>
        <w:gridCol w:w="362"/>
        <w:gridCol w:w="712"/>
        <w:gridCol w:w="112"/>
        <w:gridCol w:w="109"/>
        <w:gridCol w:w="109"/>
        <w:gridCol w:w="109"/>
        <w:gridCol w:w="448"/>
        <w:gridCol w:w="629"/>
        <w:gridCol w:w="109"/>
        <w:gridCol w:w="109"/>
        <w:gridCol w:w="109"/>
        <w:gridCol w:w="109"/>
        <w:gridCol w:w="356"/>
        <w:gridCol w:w="556"/>
        <w:gridCol w:w="109"/>
        <w:gridCol w:w="109"/>
        <w:gridCol w:w="109"/>
        <w:gridCol w:w="109"/>
        <w:gridCol w:w="341"/>
        <w:gridCol w:w="571"/>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ADDITIONAL DATA</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(in millions)</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2024</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Product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Software development costs and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Internal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1,399.4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474.7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210.7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88.2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78.6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448.8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effect from deferred revenue and related cost of revenue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Stock-based compensation </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2024</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gain on fair value adjustments, net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245.5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2,176.7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93.3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effect from deferred revenue and related cost of revenue</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Impact of business reorganization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2023</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Software development costs and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Internal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2023</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gain on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Impact of business reorganization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835" w:type="dxa"/>
        <w:jc w:val="left"/>
        <w:tblInd w:w="0" w:type="dxa"/>
        <w:tblLayout w:type="fixed"/>
        <w:tblCellMar>
          <w:top w:w="28" w:type="dxa"/>
          <w:left w:w="28" w:type="dxa"/>
          <w:bottom w:w="28" w:type="dxa"/>
          <w:right w:w="28" w:type="dxa"/>
        </w:tblCellMar>
      </w:tblPr>
      <w:tblGrid>
        <w:gridCol w:w="430"/>
        <w:gridCol w:w="377"/>
        <w:gridCol w:w="379"/>
        <w:gridCol w:w="341"/>
        <w:gridCol w:w="706"/>
        <w:gridCol w:w="109"/>
        <w:gridCol w:w="109"/>
        <w:gridCol w:w="109"/>
        <w:gridCol w:w="109"/>
        <w:gridCol w:w="206"/>
        <w:gridCol w:w="706"/>
        <w:gridCol w:w="109"/>
        <w:gridCol w:w="109"/>
        <w:gridCol w:w="109"/>
        <w:gridCol w:w="109"/>
        <w:gridCol w:w="371"/>
        <w:gridCol w:w="571"/>
        <w:gridCol w:w="109"/>
        <w:gridCol w:w="109"/>
        <w:gridCol w:w="109"/>
        <w:gridCol w:w="109"/>
        <w:gridCol w:w="362"/>
        <w:gridCol w:w="712"/>
        <w:gridCol w:w="112"/>
        <w:gridCol w:w="109"/>
        <w:gridCol w:w="109"/>
        <w:gridCol w:w="109"/>
        <w:gridCol w:w="405"/>
        <w:gridCol w:w="672"/>
        <w:gridCol w:w="109"/>
        <w:gridCol w:w="109"/>
        <w:gridCol w:w="109"/>
        <w:gridCol w:w="109"/>
        <w:gridCol w:w="341"/>
        <w:gridCol w:w="571"/>
        <w:gridCol w:w="109"/>
        <w:gridCol w:w="109"/>
        <w:gridCol w:w="109"/>
        <w:gridCol w:w="109"/>
        <w:gridCol w:w="206"/>
        <w:gridCol w:w="70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ADDITIONAL DATA</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(in millions)</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2024</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Software development costs and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Internal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5,349.6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1,301.1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756.6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346.7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305.8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397.6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1,550.2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Stock-based compensation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2024</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gain on fair value adjustments, net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716.1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948.2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2,342.1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104.6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(103.6)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Impact of business reorganization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2023</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goods revenue- Software development costs and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Internal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effect from deferred revenue and related cost of revenue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2023</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gain on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Impact of business reorganization</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279" w:type="dxa"/>
        <w:jc w:val="left"/>
        <w:tblInd w:w="0" w:type="dxa"/>
        <w:tblLayout w:type="fixed"/>
        <w:tblCellMar>
          <w:top w:w="28" w:type="dxa"/>
          <w:left w:w="28" w:type="dxa"/>
          <w:bottom w:w="28" w:type="dxa"/>
          <w:right w:w="28" w:type="dxa"/>
        </w:tblCellMar>
      </w:tblPr>
      <w:tblGrid>
        <w:gridCol w:w="2178"/>
        <w:gridCol w:w="1914"/>
        <w:gridCol w:w="1923"/>
        <w:gridCol w:w="109"/>
        <w:gridCol w:w="109"/>
        <w:gridCol w:w="109"/>
        <w:gridCol w:w="276"/>
        <w:gridCol w:w="808"/>
        <w:gridCol w:w="142"/>
        <w:gridCol w:w="142"/>
        <w:gridCol w:w="142"/>
        <w:gridCol w:w="142"/>
        <w:gridCol w:w="276"/>
        <w:gridCol w:w="808"/>
        <w:gridCol w:w="201"/>
      </w:tblGrid>
      <w:tr>
        <w:trPr/>
        <w:tc>
          <w:tcPr>
            <w:tcW w:w="2178"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March 31,</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change in Restricted cash</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Unrestricted Operating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March 31,</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beginning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Net change in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87"/>
        <w:gridCol w:w="884"/>
        <w:gridCol w:w="889"/>
        <w:gridCol w:w="161"/>
        <w:gridCol w:w="161"/>
        <w:gridCol w:w="161"/>
        <w:gridCol w:w="313"/>
        <w:gridCol w:w="1224"/>
        <w:gridCol w:w="161"/>
        <w:gridCol w:w="161"/>
        <w:gridCol w:w="161"/>
        <w:gridCol w:w="161"/>
        <w:gridCol w:w="313"/>
        <w:gridCol w:w="1001"/>
        <w:gridCol w:w="161"/>
        <w:gridCol w:w="109"/>
        <w:gridCol w:w="109"/>
        <w:gridCol w:w="109"/>
        <w:gridCol w:w="221"/>
        <w:gridCol w:w="855"/>
        <w:gridCol w:w="113"/>
        <w:gridCol w:w="113"/>
        <w:gridCol w:w="113"/>
        <w:gridCol w:w="113"/>
        <w:gridCol w:w="221"/>
        <w:gridCol w:w="855"/>
        <w:gridCol w:w="175"/>
      </w:tblGrid>
      <w:tr>
        <w:trPr/>
        <w:tc>
          <w:tcPr>
            <w:tcW w:w="11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99"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March 31,</w:t>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 of acquired intangibles</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10" w:type="dxa"/>
        <w:jc w:val="left"/>
        <w:tblInd w:w="0" w:type="dxa"/>
        <w:tblLayout w:type="fixed"/>
        <w:tblCellMar>
          <w:top w:w="28" w:type="dxa"/>
          <w:left w:w="28" w:type="dxa"/>
          <w:bottom w:w="28" w:type="dxa"/>
          <w:right w:w="28" w:type="dxa"/>
        </w:tblCellMar>
      </w:tblPr>
      <w:tblGrid>
        <w:gridCol w:w="1128"/>
        <w:gridCol w:w="990"/>
        <w:gridCol w:w="1001"/>
        <w:gridCol w:w="109"/>
        <w:gridCol w:w="109"/>
        <w:gridCol w:w="109"/>
        <w:gridCol w:w="925"/>
        <w:gridCol w:w="925"/>
        <w:gridCol w:w="1314"/>
      </w:tblGrid>
      <w:tr>
        <w:trPr/>
        <w:tc>
          <w:tcPr>
            <w:tcW w:w="112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Ending March 31,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$(674) to $(606)</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 to $129</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$429 to $483</w:t>
            </w:r>
          </w:p>
        </w:tc>
      </w:tr>
    </w:tbl>
    <w:p>
      <w:pPr>
        <w:pStyle w:val="TextBody"/>
        <w:bidi w:val="0"/>
        <w:spacing w:before="0" w:after="0"/>
        <w:jc w:val="left"/>
        <w:rPr/>
      </w:pPr>
      <w:r>
        <w:rPr/>
      </w:r>
    </w:p>
    <w:tbl>
      <w:tblPr>
        <w:tblW w:w="6581" w:type="dxa"/>
        <w:jc w:val="left"/>
        <w:tblInd w:w="0" w:type="dxa"/>
        <w:tblLayout w:type="fixed"/>
        <w:tblCellMar>
          <w:top w:w="28" w:type="dxa"/>
          <w:left w:w="28" w:type="dxa"/>
          <w:bottom w:w="28" w:type="dxa"/>
          <w:right w:w="28" w:type="dxa"/>
        </w:tblCellMar>
      </w:tblPr>
      <w:tblGrid>
        <w:gridCol w:w="1129"/>
        <w:gridCol w:w="991"/>
        <w:gridCol w:w="1000"/>
        <w:gridCol w:w="109"/>
        <w:gridCol w:w="109"/>
        <w:gridCol w:w="109"/>
        <w:gridCol w:w="915"/>
        <w:gridCol w:w="915"/>
        <w:gridCol w:w="130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$(272) to $(245)</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 to $52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 to $47</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6051</Words>
  <Characters>33279</Characters>
  <CharactersWithSpaces>38231</CharactersWithSpaces>
  <Paragraphs>1702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