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Click Here for 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0"/>
          <w:szCs w:val="20"/>
          <w:color w:val="auto"/>
        </w:rPr>
      </w:pPr>
    </w:p>
    <w:p>
      <w:pPr>
        <w:jc w:val="center"/>
        <w:ind w:right="-119"/>
        <w:spacing w:after="0"/>
        <w:rPr>
          <w:sz w:val="20"/>
          <w:szCs w:val="20"/>
          <w:color w:val="auto"/>
        </w:rPr>
      </w:pPr>
      <w:r>
        <w:rPr>
          <w:sz w:val="1"/>
          <w:szCs w:val="1"/>
          <w:color w:val="auto"/>
        </w:rPr>
        <w:drawing>
          <wp:inline distT="0" distB="0" distL="0" distR="0">
            <wp:extent cx="102870" cy="1028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8"/>
          <w:szCs w:val="18"/>
          <w:b w:val="1"/>
          <w:bCs w:val="1"/>
          <w:color w:val="auto"/>
        </w:rPr>
        <w:t xml:space="preserve"> Annual Report Pursuant to Section 13 or 15(d) of the Securities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Exchange Act of 1934</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 the fiscal year ended October 31, 2004</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jc w:val="center"/>
        <w:ind w:right="-119"/>
        <w:spacing w:after="0"/>
        <w:rPr>
          <w:sz w:val="20"/>
          <w:szCs w:val="20"/>
          <w:color w:val="auto"/>
        </w:rPr>
      </w:pPr>
      <w:r>
        <w:rPr>
          <w:sz w:val="1"/>
          <w:szCs w:val="1"/>
          <w:color w:val="auto"/>
        </w:rPr>
        <w:drawing>
          <wp:inline distT="0" distB="0" distL="0" distR="0">
            <wp:extent cx="102870" cy="1028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8"/>
          <w:szCs w:val="18"/>
          <w:b w:val="1"/>
          <w:bCs w:val="1"/>
          <w:color w:val="auto"/>
        </w:rPr>
        <w:t xml:space="preserve"> Transition Report Pursuant to Section 13 or 15(d) of the Securities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Exchange Act of 1934</w:t>
      </w:r>
    </w:p>
    <w:p>
      <w:pPr>
        <w:spacing w:after="0" w:line="21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For the transition period from ___ to ____.</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0-29230</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(Commission File No.)</w:t>
      </w:r>
    </w:p>
    <w:p>
      <w:pPr>
        <w:spacing w:after="0" w:line="199"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TAKE-TWO INTERACTIVE SOFTWARE, INC.</w:t>
      </w:r>
    </w:p>
    <w:p>
      <w:pPr>
        <w:spacing w:after="0" w:line="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0"/>
          <w:szCs w:val="20"/>
          <w:color w:val="auto"/>
        </w:rPr>
      </w:pPr>
    </w:p>
    <w:tbl>
      <w:tblPr>
        <w:tblLayout w:type="fixed"/>
        <w:tblInd w:w="1420" w:type="dxa"/>
        <w:tblCellMar>
          <w:top w:w="0" w:type="dxa"/>
          <w:left w:w="0" w:type="dxa"/>
          <w:bottom w:w="0" w:type="dxa"/>
          <w:right w:w="0" w:type="dxa"/>
        </w:tblCellMar>
      </w:tblPr>
      <w:tr>
        <w:trPr>
          <w:trHeight w:val="222"/>
        </w:trPr>
        <w:tc>
          <w:tcPr>
            <w:tcW w:w="4620" w:type="dxa"/>
            <w:vAlign w:val="bottom"/>
          </w:tcPr>
          <w:p>
            <w:pPr>
              <w:jc w:val="center"/>
              <w:ind w:right="1752"/>
              <w:spacing w:after="0"/>
              <w:rPr>
                <w:sz w:val="20"/>
                <w:szCs w:val="20"/>
                <w:color w:val="auto"/>
              </w:rPr>
            </w:pPr>
            <w:r>
              <w:rPr>
                <w:rFonts w:ascii="Arial" w:cs="Arial" w:eastAsia="Arial" w:hAnsi="Arial"/>
                <w:sz w:val="18"/>
                <w:szCs w:val="18"/>
                <w:b w:val="1"/>
                <w:bCs w:val="1"/>
                <w:color w:val="auto"/>
                <w:w w:val="88"/>
              </w:rPr>
              <w:t>Delaware</w:t>
            </w:r>
          </w:p>
        </w:tc>
        <w:tc>
          <w:tcPr>
            <w:tcW w:w="3120" w:type="dxa"/>
            <w:vAlign w:val="bottom"/>
          </w:tcPr>
          <w:p>
            <w:pPr>
              <w:jc w:val="right"/>
              <w:ind w:right="132"/>
              <w:spacing w:after="0"/>
              <w:rPr>
                <w:sz w:val="20"/>
                <w:szCs w:val="20"/>
                <w:color w:val="auto"/>
              </w:rPr>
            </w:pPr>
            <w:r>
              <w:rPr>
                <w:rFonts w:ascii="Arial" w:cs="Arial" w:eastAsia="Arial" w:hAnsi="Arial"/>
                <w:sz w:val="18"/>
                <w:szCs w:val="18"/>
                <w:b w:val="1"/>
                <w:bCs w:val="1"/>
                <w:color w:val="auto"/>
              </w:rPr>
              <w:t>51-0350842</w:t>
            </w:r>
          </w:p>
        </w:tc>
      </w:tr>
      <w:tr>
        <w:trPr>
          <w:trHeight w:val="216"/>
        </w:trPr>
        <w:tc>
          <w:tcPr>
            <w:tcW w:w="4620" w:type="dxa"/>
            <w:vAlign w:val="bottom"/>
          </w:tcPr>
          <w:p>
            <w:pPr>
              <w:jc w:val="center"/>
              <w:ind w:right="1752"/>
              <w:spacing w:after="0"/>
              <w:rPr>
                <w:sz w:val="20"/>
                <w:szCs w:val="20"/>
                <w:color w:val="auto"/>
              </w:rPr>
            </w:pPr>
            <w:r>
              <w:rPr>
                <w:rFonts w:ascii="Arial" w:cs="Arial" w:eastAsia="Arial" w:hAnsi="Arial"/>
                <w:sz w:val="18"/>
                <w:szCs w:val="18"/>
                <w:color w:val="auto"/>
                <w:w w:val="88"/>
              </w:rPr>
              <w:t>(State or Other Jurisdiction</w:t>
            </w:r>
          </w:p>
        </w:tc>
        <w:tc>
          <w:tcPr>
            <w:tcW w:w="3120" w:type="dxa"/>
            <w:vAlign w:val="bottom"/>
          </w:tcPr>
          <w:p>
            <w:pPr>
              <w:jc w:val="center"/>
              <w:ind w:left="1752"/>
              <w:spacing w:after="0"/>
              <w:rPr>
                <w:sz w:val="20"/>
                <w:szCs w:val="20"/>
                <w:color w:val="auto"/>
              </w:rPr>
            </w:pPr>
            <w:r>
              <w:rPr>
                <w:rFonts w:ascii="Arial" w:cs="Arial" w:eastAsia="Arial" w:hAnsi="Arial"/>
                <w:sz w:val="18"/>
                <w:szCs w:val="18"/>
                <w:color w:val="auto"/>
                <w:w w:val="90"/>
              </w:rPr>
              <w:t>(I.R.S. Employer</w:t>
            </w:r>
          </w:p>
        </w:tc>
      </w:tr>
      <w:tr>
        <w:trPr>
          <w:trHeight w:val="222"/>
        </w:trPr>
        <w:tc>
          <w:tcPr>
            <w:tcW w:w="4620" w:type="dxa"/>
            <w:vAlign w:val="bottom"/>
          </w:tcPr>
          <w:p>
            <w:pPr>
              <w:jc w:val="center"/>
              <w:ind w:right="1752"/>
              <w:spacing w:after="0"/>
              <w:rPr>
                <w:sz w:val="20"/>
                <w:szCs w:val="20"/>
                <w:color w:val="auto"/>
              </w:rPr>
            </w:pPr>
            <w:r>
              <w:rPr>
                <w:rFonts w:ascii="Arial" w:cs="Arial" w:eastAsia="Arial" w:hAnsi="Arial"/>
                <w:sz w:val="18"/>
                <w:szCs w:val="18"/>
                <w:color w:val="auto"/>
                <w:w w:val="90"/>
              </w:rPr>
              <w:t>of Incorporation or Organization)</w:t>
            </w:r>
          </w:p>
        </w:tc>
        <w:tc>
          <w:tcPr>
            <w:tcW w:w="3120" w:type="dxa"/>
            <w:vAlign w:val="bottom"/>
          </w:tcPr>
          <w:p>
            <w:pPr>
              <w:jc w:val="center"/>
              <w:ind w:left="1732"/>
              <w:spacing w:after="0"/>
              <w:rPr>
                <w:sz w:val="20"/>
                <w:szCs w:val="20"/>
                <w:color w:val="auto"/>
              </w:rPr>
            </w:pPr>
            <w:r>
              <w:rPr>
                <w:rFonts w:ascii="Arial" w:cs="Arial" w:eastAsia="Arial" w:hAnsi="Arial"/>
                <w:sz w:val="18"/>
                <w:szCs w:val="18"/>
                <w:color w:val="auto"/>
                <w:w w:val="92"/>
              </w:rPr>
              <w:t>Identification No.)</w:t>
            </w:r>
          </w:p>
        </w:tc>
      </w:tr>
      <w:tr>
        <w:trPr>
          <w:trHeight w:val="453"/>
        </w:trPr>
        <w:tc>
          <w:tcPr>
            <w:tcW w:w="4620" w:type="dxa"/>
            <w:vAlign w:val="bottom"/>
          </w:tcPr>
          <w:p>
            <w:pPr>
              <w:jc w:val="center"/>
              <w:ind w:right="1752"/>
              <w:spacing w:after="0"/>
              <w:rPr>
                <w:sz w:val="20"/>
                <w:szCs w:val="20"/>
                <w:color w:val="auto"/>
              </w:rPr>
            </w:pPr>
            <w:r>
              <w:rPr>
                <w:rFonts w:ascii="Arial" w:cs="Arial" w:eastAsia="Arial" w:hAnsi="Arial"/>
                <w:sz w:val="18"/>
                <w:szCs w:val="18"/>
                <w:b w:val="1"/>
                <w:bCs w:val="1"/>
                <w:color w:val="auto"/>
                <w:w w:val="89"/>
              </w:rPr>
              <w:t>622 Broadway, New York, New York</w:t>
            </w:r>
          </w:p>
        </w:tc>
        <w:tc>
          <w:tcPr>
            <w:tcW w:w="3120" w:type="dxa"/>
            <w:vAlign w:val="bottom"/>
          </w:tcPr>
          <w:p>
            <w:pPr>
              <w:jc w:val="right"/>
              <w:ind w:right="332"/>
              <w:spacing w:after="0"/>
              <w:rPr>
                <w:sz w:val="20"/>
                <w:szCs w:val="20"/>
                <w:color w:val="auto"/>
              </w:rPr>
            </w:pPr>
            <w:r>
              <w:rPr>
                <w:rFonts w:ascii="Arial" w:cs="Arial" w:eastAsia="Arial" w:hAnsi="Arial"/>
                <w:sz w:val="18"/>
                <w:szCs w:val="18"/>
                <w:b w:val="1"/>
                <w:bCs w:val="1"/>
                <w:color w:val="auto"/>
              </w:rPr>
              <w:t>10012</w:t>
            </w:r>
          </w:p>
        </w:tc>
      </w:tr>
      <w:tr>
        <w:trPr>
          <w:trHeight w:val="222"/>
        </w:trPr>
        <w:tc>
          <w:tcPr>
            <w:tcW w:w="4620" w:type="dxa"/>
            <w:vAlign w:val="bottom"/>
          </w:tcPr>
          <w:p>
            <w:pPr>
              <w:jc w:val="center"/>
              <w:ind w:right="1752"/>
              <w:spacing w:after="0"/>
              <w:rPr>
                <w:sz w:val="20"/>
                <w:szCs w:val="20"/>
                <w:color w:val="auto"/>
              </w:rPr>
            </w:pPr>
            <w:r>
              <w:rPr>
                <w:rFonts w:ascii="Arial" w:cs="Arial" w:eastAsia="Arial" w:hAnsi="Arial"/>
                <w:sz w:val="18"/>
                <w:szCs w:val="18"/>
                <w:color w:val="auto"/>
                <w:w w:val="90"/>
              </w:rPr>
              <w:t>(Address of principal executive offices)</w:t>
            </w:r>
          </w:p>
        </w:tc>
        <w:tc>
          <w:tcPr>
            <w:tcW w:w="3120" w:type="dxa"/>
            <w:vAlign w:val="bottom"/>
          </w:tcPr>
          <w:p>
            <w:pPr>
              <w:jc w:val="center"/>
              <w:ind w:left="1732"/>
              <w:spacing w:after="0"/>
              <w:rPr>
                <w:sz w:val="20"/>
                <w:szCs w:val="20"/>
                <w:color w:val="auto"/>
              </w:rPr>
            </w:pPr>
            <w:r>
              <w:rPr>
                <w:rFonts w:ascii="Arial" w:cs="Arial" w:eastAsia="Arial" w:hAnsi="Arial"/>
                <w:sz w:val="18"/>
                <w:szCs w:val="18"/>
                <w:color w:val="auto"/>
                <w:w w:val="88"/>
              </w:rPr>
              <w:t>(zip code)</w:t>
            </w:r>
          </w:p>
        </w:tc>
      </w:tr>
    </w:tbl>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(646) 536-2842</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Common Stock, $.01 par value</w:t>
      </w:r>
    </w:p>
    <w:p>
      <w:pPr>
        <w:spacing w:after="0" w:line="219"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rPr>
          <w:sz w:val="20"/>
          <w:szCs w:val="20"/>
          <w:color w:val="auto"/>
        </w:rPr>
      </w:pPr>
      <w:r>
        <w:rPr>
          <w:rFonts w:ascii="Arial" w:cs="Arial" w:eastAsia="Arial" w:hAnsi="Arial"/>
          <w:sz w:val="18"/>
          <w:szCs w:val="18"/>
          <w:color w:val="auto"/>
        </w:rPr>
        <w:t xml:space="preserve">the past 90 days. Yes </w:t>
      </w:r>
      <w:r>
        <w:rPr>
          <w:sz w:val="1"/>
          <w:szCs w:val="1"/>
          <w:color w:val="auto"/>
        </w:rPr>
        <w:drawing>
          <wp:inline distT="0" distB="0" distL="0" distR="0">
            <wp:extent cx="102870" cy="1028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8"/>
          <w:szCs w:val="18"/>
          <w:color w:val="auto"/>
        </w:rPr>
        <w:t xml:space="preserve">   No </w:t>
      </w:r>
      <w:r>
        <w:rPr>
          <w:sz w:val="1"/>
          <w:szCs w:val="1"/>
          <w:color w:val="auto"/>
        </w:rPr>
        <w:drawing>
          <wp:inline distT="0" distB="0" distL="0" distR="0">
            <wp:extent cx="102870" cy="1028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sz w:val="1"/>
          <w:szCs w:val="1"/>
          <w:color w:val="auto"/>
        </w:rPr>
        <w:drawing>
          <wp:inline distT="0" distB="0" distL="0" distR="0">
            <wp:extent cx="102870" cy="1028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Yes </w:t>
      </w:r>
      <w:r>
        <w:rPr>
          <w:sz w:val="1"/>
          <w:szCs w:val="1"/>
          <w:color w:val="auto"/>
        </w:rPr>
        <w:drawing>
          <wp:inline distT="0" distB="0" distL="0" distR="0">
            <wp:extent cx="102870" cy="1028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8"/>
          <w:szCs w:val="18"/>
          <w:color w:val="auto"/>
        </w:rPr>
        <w:t xml:space="preserve">   No </w:t>
      </w:r>
      <w:r>
        <w:rPr>
          <w:sz w:val="1"/>
          <w:szCs w:val="1"/>
          <w:color w:val="auto"/>
        </w:rPr>
        <w:drawing>
          <wp:inline distT="0" distB="0" distL="0" distR="0">
            <wp:extent cx="102870" cy="1028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p>
    <w:p>
      <w:pPr>
        <w:spacing w:after="0" w:line="21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$1,283,000,000.</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As of December 10, 2004, there were 46,091,024 shares of the Registrant’s common stock outstanding.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Documents Incorporated by Reference:</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Relating to Annual Meeting to be held in Fiscal 2005</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(Incorporated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461645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6"/>
          </w:tcPr>
          <w:p>
            <w:pPr>
              <w:ind w:left="380"/>
              <w:spacing w:after="0"/>
              <w:rPr>
                <w:sz w:val="20"/>
                <w:szCs w:val="20"/>
                <w:color w:val="auto"/>
              </w:rPr>
            </w:pPr>
            <w:r>
              <w:rPr>
                <w:rFonts w:ascii="Arial" w:cs="Arial" w:eastAsia="Arial" w:hAnsi="Arial"/>
                <w:sz w:val="18"/>
                <w:szCs w:val="18"/>
                <w:b w:val="1"/>
                <w:bCs w:val="1"/>
                <w:color w:val="auto"/>
              </w:rPr>
              <w:t>INDEX</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53"/>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85"/>
              </w:rPr>
              <w:t>PAGE</w:t>
            </w:r>
          </w:p>
        </w:tc>
      </w:tr>
      <w:tr>
        <w:trPr>
          <w:trHeight w:val="30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60" w:type="dxa"/>
            <w:vAlign w:val="bottom"/>
            <w:gridSpan w:val="6"/>
          </w:tcPr>
          <w:p>
            <w:pPr>
              <w:jc w:val="center"/>
              <w:ind w:right="4440"/>
              <w:spacing w:after="0"/>
              <w:rPr>
                <w:sz w:val="20"/>
                <w:szCs w:val="20"/>
                <w:color w:val="auto"/>
              </w:rPr>
            </w:pPr>
            <w:r>
              <w:rPr>
                <w:rFonts w:ascii="Arial" w:cs="Arial" w:eastAsia="Arial" w:hAnsi="Arial"/>
                <w:sz w:val="18"/>
                <w:szCs w:val="18"/>
                <w:b w:val="1"/>
                <w:bCs w:val="1"/>
                <w:color w:val="auto"/>
                <w:w w:val="98"/>
              </w:rPr>
              <w:t>PART I</w:t>
            </w: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r>
        <w:trPr>
          <w:trHeight w:val="421"/>
        </w:trPr>
        <w:tc>
          <w:tcPr>
            <w:tcW w:w="138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34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720" w:type="dxa"/>
            <w:vAlign w:val="bottom"/>
            <w:gridSpan w:val="4"/>
          </w:tcPr>
          <w:p>
            <w:pPr>
              <w:jc w:val="right"/>
              <w:ind w:right="36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380" w:type="dxa"/>
            <w:vAlign w:val="bottom"/>
            <w:gridSpan w:val="4"/>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2.</w:t>
              </w:r>
            </w:hyperlink>
          </w:p>
        </w:tc>
        <w:tc>
          <w:tcPr>
            <w:tcW w:w="9340" w:type="dxa"/>
            <w:vAlign w:val="bottom"/>
            <w:gridSpan w:val="1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Properties</w:t>
              </w:r>
            </w:hyperlink>
          </w:p>
        </w:tc>
        <w:tc>
          <w:tcPr>
            <w:tcW w:w="720" w:type="dxa"/>
            <w:vAlign w:val="bottom"/>
            <w:gridSpan w:val="4"/>
          </w:tcPr>
          <w:p>
            <w:pPr>
              <w:jc w:val="right"/>
              <w:ind w:right="360"/>
              <w:spacing w:after="0"/>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380" w:type="dxa"/>
            <w:vAlign w:val="bottom"/>
            <w:gridSpan w:val="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3.</w:t>
              </w:r>
            </w:hyperlink>
          </w:p>
        </w:tc>
        <w:tc>
          <w:tcPr>
            <w:tcW w:w="9340" w:type="dxa"/>
            <w:vAlign w:val="bottom"/>
            <w:gridSpan w:val="1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Legal Proceedings</w:t>
              </w:r>
            </w:hyperlink>
          </w:p>
        </w:tc>
        <w:tc>
          <w:tcPr>
            <w:tcW w:w="720" w:type="dxa"/>
            <w:vAlign w:val="bottom"/>
            <w:gridSpan w:val="4"/>
          </w:tcPr>
          <w:p>
            <w:pPr>
              <w:jc w:val="right"/>
              <w:ind w:right="360"/>
              <w:spacing w:after="0"/>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380" w:type="dxa"/>
            <w:vAlign w:val="bottom"/>
            <w:gridSpan w:val="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4.</w:t>
              </w:r>
            </w:hyperlink>
          </w:p>
        </w:tc>
        <w:tc>
          <w:tcPr>
            <w:tcW w:w="9340" w:type="dxa"/>
            <w:vAlign w:val="bottom"/>
            <w:gridSpan w:val="1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Submission of Matters to a Vote of Security Holders</w:t>
              </w:r>
            </w:hyperlink>
          </w:p>
        </w:tc>
        <w:tc>
          <w:tcPr>
            <w:tcW w:w="720" w:type="dxa"/>
            <w:vAlign w:val="bottom"/>
            <w:gridSpan w:val="4"/>
          </w:tcPr>
          <w:p>
            <w:pPr>
              <w:jc w:val="right"/>
              <w:ind w:right="360"/>
              <w:spacing w:after="0"/>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r>
      <w:tr>
        <w:trPr>
          <w:trHeight w:val="505"/>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660" w:type="dxa"/>
            <w:vAlign w:val="bottom"/>
            <w:gridSpan w:val="6"/>
          </w:tcPr>
          <w:p>
            <w:pPr>
              <w:jc w:val="center"/>
              <w:ind w:right="4440"/>
              <w:spacing w:after="0"/>
              <w:rPr>
                <w:sz w:val="20"/>
                <w:szCs w:val="20"/>
                <w:color w:val="auto"/>
              </w:rPr>
            </w:pPr>
            <w:r>
              <w:rPr>
                <w:rFonts w:ascii="Arial" w:cs="Arial" w:eastAsia="Arial" w:hAnsi="Arial"/>
                <w:sz w:val="18"/>
                <w:szCs w:val="18"/>
                <w:b w:val="1"/>
                <w:bCs w:val="1"/>
                <w:color w:val="auto"/>
                <w:w w:val="96"/>
              </w:rPr>
              <w:t>PART II</w:t>
            </w:r>
          </w:p>
        </w:tc>
        <w:tc>
          <w:tcPr>
            <w:tcW w:w="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r>
        <w:trPr>
          <w:trHeight w:val="421"/>
        </w:trPr>
        <w:tc>
          <w:tcPr>
            <w:tcW w:w="580" w:type="dxa"/>
            <w:vAlign w:val="bottom"/>
            <w:gridSpan w:val="2"/>
          </w:tcPr>
          <w:p>
            <w:pPr>
              <w:spacing w:after="0"/>
              <w:rPr>
                <w:rFonts w:ascii="Arial" w:cs="Arial" w:eastAsia="Arial" w:hAnsi="Arial"/>
                <w:sz w:val="18"/>
                <w:szCs w:val="18"/>
                <w:color w:val="0000EE"/>
                <w:w w:val="98"/>
              </w:rPr>
            </w:pPr>
            <w:hyperlink w:anchor="page14">
              <w:r>
                <w:rPr>
                  <w:rFonts w:ascii="Arial" w:cs="Arial" w:eastAsia="Arial" w:hAnsi="Arial"/>
                  <w:sz w:val="18"/>
                  <w:szCs w:val="18"/>
                  <w:color w:val="0000EE"/>
                  <w:w w:val="98"/>
                </w:rPr>
                <w:t>Item 5.</w:t>
              </w:r>
            </w:hyperlink>
          </w:p>
        </w:tc>
        <w:tc>
          <w:tcPr>
            <w:tcW w:w="800" w:type="dxa"/>
            <w:vAlign w:val="bottom"/>
            <w:gridSpan w:val="2"/>
          </w:tcPr>
          <w:p>
            <w:pPr>
              <w:spacing w:after="0"/>
              <w:rPr>
                <w:sz w:val="24"/>
                <w:szCs w:val="24"/>
                <w:color w:val="auto"/>
              </w:rPr>
            </w:pPr>
          </w:p>
        </w:tc>
        <w:tc>
          <w:tcPr>
            <w:tcW w:w="5200" w:type="dxa"/>
            <w:vAlign w:val="bottom"/>
            <w:gridSpan w:val="17"/>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Market for Registrant’s Common Equity and Related Stockholder Matters</w:t>
              </w:r>
            </w:hyperlink>
          </w:p>
        </w:tc>
        <w:tc>
          <w:tcPr>
            <w:tcW w:w="4140" w:type="dxa"/>
            <w:vAlign w:val="bottom"/>
            <w:gridSpan w:val="2"/>
          </w:tcPr>
          <w:p>
            <w:pPr>
              <w:spacing w:after="0"/>
              <w:rPr>
                <w:sz w:val="24"/>
                <w:szCs w:val="24"/>
                <w:color w:val="auto"/>
              </w:rPr>
            </w:pPr>
          </w:p>
        </w:tc>
        <w:tc>
          <w:tcPr>
            <w:tcW w:w="720" w:type="dxa"/>
            <w:vAlign w:val="bottom"/>
            <w:gridSpan w:val="4"/>
          </w:tcPr>
          <w:p>
            <w:pPr>
              <w:jc w:val="right"/>
              <w:ind w:right="360"/>
              <w:spacing w:after="0"/>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r>
      <w:tr>
        <w:trPr>
          <w:trHeight w:val="466"/>
        </w:trPr>
        <w:tc>
          <w:tcPr>
            <w:tcW w:w="580" w:type="dxa"/>
            <w:vAlign w:val="bottom"/>
            <w:gridSpan w:val="2"/>
          </w:tcPr>
          <w:p>
            <w:pPr>
              <w:spacing w:after="0"/>
              <w:rPr>
                <w:rFonts w:ascii="Arial" w:cs="Arial" w:eastAsia="Arial" w:hAnsi="Arial"/>
                <w:sz w:val="18"/>
                <w:szCs w:val="18"/>
                <w:color w:val="0000EE"/>
                <w:w w:val="98"/>
              </w:rPr>
            </w:pPr>
            <w:hyperlink w:anchor="page15">
              <w:r>
                <w:rPr>
                  <w:rFonts w:ascii="Arial" w:cs="Arial" w:eastAsia="Arial" w:hAnsi="Arial"/>
                  <w:sz w:val="18"/>
                  <w:szCs w:val="18"/>
                  <w:color w:val="0000EE"/>
                  <w:w w:val="98"/>
                </w:rPr>
                <w:t>Item 6.</w:t>
              </w:r>
            </w:hyperlink>
          </w:p>
        </w:tc>
        <w:tc>
          <w:tcPr>
            <w:tcW w:w="800" w:type="dxa"/>
            <w:vAlign w:val="bottom"/>
            <w:gridSpan w:val="2"/>
          </w:tcPr>
          <w:p>
            <w:pPr>
              <w:spacing w:after="0"/>
              <w:rPr>
                <w:sz w:val="24"/>
                <w:szCs w:val="24"/>
                <w:color w:val="auto"/>
              </w:rPr>
            </w:pPr>
          </w:p>
        </w:tc>
        <w:tc>
          <w:tcPr>
            <w:tcW w:w="5200" w:type="dxa"/>
            <w:vAlign w:val="bottom"/>
            <w:gridSpan w:val="1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Selected Financial Data</w:t>
              </w:r>
            </w:hyperlink>
          </w:p>
        </w:tc>
        <w:tc>
          <w:tcPr>
            <w:tcW w:w="4140" w:type="dxa"/>
            <w:vAlign w:val="bottom"/>
            <w:gridSpan w:val="2"/>
          </w:tcPr>
          <w:p>
            <w:pPr>
              <w:spacing w:after="0"/>
              <w:rPr>
                <w:sz w:val="24"/>
                <w:szCs w:val="24"/>
                <w:color w:val="auto"/>
              </w:rPr>
            </w:pPr>
          </w:p>
        </w:tc>
        <w:tc>
          <w:tcPr>
            <w:tcW w:w="720" w:type="dxa"/>
            <w:vAlign w:val="bottom"/>
            <w:gridSpan w:val="4"/>
          </w:tcPr>
          <w:p>
            <w:pPr>
              <w:jc w:val="right"/>
              <w:ind w:right="360"/>
              <w:spacing w:after="0"/>
              <w:rPr>
                <w:rFonts w:ascii="Arial" w:cs="Arial" w:eastAsia="Arial" w:hAnsi="Arial"/>
                <w:sz w:val="18"/>
                <w:szCs w:val="18"/>
                <w:color w:val="0000EE"/>
              </w:rPr>
            </w:pPr>
            <w:hyperlink w:anchor="page15">
              <w:r>
                <w:rPr>
                  <w:rFonts w:ascii="Arial" w:cs="Arial" w:eastAsia="Arial" w:hAnsi="Arial"/>
                  <w:sz w:val="18"/>
                  <w:szCs w:val="18"/>
                  <w:color w:val="0000EE"/>
                </w:rPr>
                <w:t>12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380" w:type="dxa"/>
            <w:vAlign w:val="bottom"/>
            <w:gridSpan w:val="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7.</w:t>
              </w:r>
            </w:hyperlink>
          </w:p>
        </w:tc>
        <w:tc>
          <w:tcPr>
            <w:tcW w:w="9340" w:type="dxa"/>
            <w:vAlign w:val="bottom"/>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720" w:type="dxa"/>
            <w:vAlign w:val="bottom"/>
            <w:gridSpan w:val="4"/>
          </w:tcPr>
          <w:p>
            <w:pPr>
              <w:jc w:val="right"/>
              <w:ind w:right="360"/>
              <w:spacing w:after="0"/>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640" w:type="dxa"/>
            <w:vAlign w:val="bottom"/>
            <w:gridSpan w:val="3"/>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7A.</w:t>
              </w:r>
            </w:hyperlink>
          </w:p>
        </w:tc>
        <w:tc>
          <w:tcPr>
            <w:tcW w:w="740" w:type="dxa"/>
            <w:vAlign w:val="bottom"/>
          </w:tcPr>
          <w:p>
            <w:pPr>
              <w:spacing w:after="0"/>
              <w:rPr>
                <w:sz w:val="24"/>
                <w:szCs w:val="24"/>
                <w:color w:val="auto"/>
              </w:rPr>
            </w:pPr>
          </w:p>
        </w:tc>
        <w:tc>
          <w:tcPr>
            <w:tcW w:w="934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720" w:type="dxa"/>
            <w:vAlign w:val="bottom"/>
            <w:gridSpan w:val="4"/>
          </w:tcPr>
          <w:p>
            <w:pPr>
              <w:jc w:val="right"/>
              <w:ind w:right="360"/>
              <w:spacing w:after="0"/>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64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8.</w:t>
              </w:r>
            </w:hyperlink>
          </w:p>
        </w:tc>
        <w:tc>
          <w:tcPr>
            <w:tcW w:w="740" w:type="dxa"/>
            <w:vAlign w:val="bottom"/>
          </w:tcPr>
          <w:p>
            <w:pPr>
              <w:spacing w:after="0"/>
              <w:rPr>
                <w:sz w:val="24"/>
                <w:szCs w:val="24"/>
                <w:color w:val="auto"/>
              </w:rPr>
            </w:pPr>
          </w:p>
        </w:tc>
        <w:tc>
          <w:tcPr>
            <w:tcW w:w="4200" w:type="dxa"/>
            <w:vAlign w:val="bottom"/>
            <w:gridSpan w:val="1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Financial Statements and Supplementary Data</w:t>
              </w:r>
            </w:hyperlink>
          </w:p>
        </w:tc>
        <w:tc>
          <w:tcPr>
            <w:tcW w:w="5140" w:type="dxa"/>
            <w:vAlign w:val="bottom"/>
            <w:gridSpan w:val="5"/>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gridSpan w:val="3"/>
          </w:tcPr>
          <w:p>
            <w:pPr>
              <w:jc w:val="right"/>
              <w:ind w:right="360"/>
              <w:spacing w:after="0"/>
              <w:rPr>
                <w:rFonts w:ascii="Arial" w:cs="Arial" w:eastAsia="Arial" w:hAnsi="Arial"/>
                <w:sz w:val="16"/>
                <w:szCs w:val="16"/>
                <w:color w:val="0000EE"/>
                <w:w w:val="78"/>
              </w:rPr>
            </w:pPr>
            <w:hyperlink w:anchor="page36">
              <w:r>
                <w:rPr>
                  <w:rFonts w:ascii="Arial" w:cs="Arial" w:eastAsia="Arial" w:hAnsi="Arial"/>
                  <w:sz w:val="16"/>
                  <w:szCs w:val="16"/>
                  <w:color w:val="0000EE"/>
                  <w:w w:val="78"/>
                </w:rPr>
                <w:t>33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380" w:type="dxa"/>
            <w:vAlign w:val="bottom"/>
            <w:gridSpan w:val="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9.</w:t>
              </w:r>
            </w:hyperlink>
          </w:p>
        </w:tc>
        <w:tc>
          <w:tcPr>
            <w:tcW w:w="934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Changes in and Disagreements with Accountants on Accounting and Financial Disclosure</w:t>
              </w:r>
            </w:hyperlink>
          </w:p>
        </w:tc>
        <w:tc>
          <w:tcPr>
            <w:tcW w:w="720" w:type="dxa"/>
            <w:vAlign w:val="bottom"/>
            <w:gridSpan w:val="4"/>
          </w:tcPr>
          <w:p>
            <w:pPr>
              <w:jc w:val="right"/>
              <w:ind w:right="360"/>
              <w:spacing w:after="0"/>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640" w:type="dxa"/>
            <w:vAlign w:val="bottom"/>
            <w:gridSpan w:val="3"/>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Item 9A.</w:t>
              </w:r>
            </w:hyperlink>
          </w:p>
        </w:tc>
        <w:tc>
          <w:tcPr>
            <w:tcW w:w="740" w:type="dxa"/>
            <w:vAlign w:val="bottom"/>
          </w:tcPr>
          <w:p>
            <w:pPr>
              <w:spacing w:after="0"/>
              <w:rPr>
                <w:sz w:val="24"/>
                <w:szCs w:val="24"/>
                <w:color w:val="auto"/>
              </w:rPr>
            </w:pPr>
          </w:p>
        </w:tc>
        <w:tc>
          <w:tcPr>
            <w:tcW w:w="934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720" w:type="dxa"/>
            <w:vAlign w:val="bottom"/>
            <w:gridSpan w:val="4"/>
          </w:tcPr>
          <w:p>
            <w:pPr>
              <w:jc w:val="right"/>
              <w:ind w:right="360"/>
              <w:spacing w:after="0"/>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640" w:type="dxa"/>
            <w:vAlign w:val="bottom"/>
            <w:gridSpan w:val="3"/>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Item 9B.</w:t>
              </w:r>
            </w:hyperlink>
          </w:p>
        </w:tc>
        <w:tc>
          <w:tcPr>
            <w:tcW w:w="740" w:type="dxa"/>
            <w:vAlign w:val="bottom"/>
          </w:tcPr>
          <w:p>
            <w:pPr>
              <w:spacing w:after="0"/>
              <w:rPr>
                <w:sz w:val="24"/>
                <w:szCs w:val="24"/>
                <w:color w:val="auto"/>
              </w:rPr>
            </w:pPr>
          </w:p>
        </w:tc>
        <w:tc>
          <w:tcPr>
            <w:tcW w:w="1720" w:type="dxa"/>
            <w:vAlign w:val="bottom"/>
            <w:gridSpan w:val="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7620" w:type="dxa"/>
            <w:vAlign w:val="bottom"/>
            <w:gridSpan w:val="13"/>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gridSpan w:val="3"/>
          </w:tcPr>
          <w:p>
            <w:pPr>
              <w:jc w:val="right"/>
              <w:ind w:right="360"/>
              <w:spacing w:after="0"/>
              <w:rPr>
                <w:rFonts w:ascii="Arial" w:cs="Arial" w:eastAsia="Arial" w:hAnsi="Arial"/>
                <w:sz w:val="16"/>
                <w:szCs w:val="16"/>
                <w:color w:val="0000EE"/>
                <w:w w:val="78"/>
              </w:rPr>
            </w:pPr>
            <w:hyperlink w:anchor="page37">
              <w:r>
                <w:rPr>
                  <w:rFonts w:ascii="Arial" w:cs="Arial" w:eastAsia="Arial" w:hAnsi="Arial"/>
                  <w:sz w:val="16"/>
                  <w:szCs w:val="16"/>
                  <w:color w:val="0000EE"/>
                  <w:w w:val="78"/>
                </w:rPr>
                <w:t>34</w:t>
              </w:r>
            </w:hyperlink>
          </w:p>
        </w:tc>
      </w:tr>
      <w:tr>
        <w:trPr>
          <w:trHeight w:val="505"/>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60" w:type="dxa"/>
            <w:vAlign w:val="bottom"/>
            <w:gridSpan w:val="6"/>
          </w:tcPr>
          <w:p>
            <w:pPr>
              <w:jc w:val="center"/>
              <w:ind w:right="4440"/>
              <w:spacing w:after="0"/>
              <w:rPr>
                <w:sz w:val="20"/>
                <w:szCs w:val="20"/>
                <w:color w:val="auto"/>
              </w:rPr>
            </w:pPr>
            <w:r>
              <w:rPr>
                <w:rFonts w:ascii="Arial" w:cs="Arial" w:eastAsia="Arial" w:hAnsi="Arial"/>
                <w:sz w:val="18"/>
                <w:szCs w:val="18"/>
                <w:b w:val="1"/>
                <w:bCs w:val="1"/>
                <w:color w:val="auto"/>
              </w:rPr>
              <w:t>PART III</w:t>
            </w:r>
          </w:p>
        </w:tc>
        <w:tc>
          <w:tcPr>
            <w:tcW w:w="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r>
        <w:trPr>
          <w:trHeight w:val="421"/>
        </w:trPr>
        <w:tc>
          <w:tcPr>
            <w:tcW w:w="580" w:type="dxa"/>
            <w:vAlign w:val="bottom"/>
            <w:gridSpan w:val="2"/>
          </w:tcPr>
          <w:p>
            <w:pPr>
              <w:spacing w:after="0"/>
              <w:rPr>
                <w:rFonts w:ascii="Arial" w:cs="Arial" w:eastAsia="Arial" w:hAnsi="Arial"/>
                <w:sz w:val="18"/>
                <w:szCs w:val="18"/>
                <w:color w:val="0000EE"/>
                <w:w w:val="82"/>
              </w:rPr>
            </w:pPr>
            <w:hyperlink w:anchor="page38">
              <w:r>
                <w:rPr>
                  <w:rFonts w:ascii="Arial" w:cs="Arial" w:eastAsia="Arial" w:hAnsi="Arial"/>
                  <w:sz w:val="18"/>
                  <w:szCs w:val="18"/>
                  <w:color w:val="0000EE"/>
                  <w:w w:val="82"/>
                </w:rPr>
                <w:t>Item 10.</w:t>
              </w:r>
            </w:hyperlink>
          </w:p>
        </w:tc>
        <w:tc>
          <w:tcPr>
            <w:tcW w:w="800" w:type="dxa"/>
            <w:vAlign w:val="bottom"/>
            <w:gridSpan w:val="2"/>
          </w:tcPr>
          <w:p>
            <w:pPr>
              <w:spacing w:after="0"/>
              <w:rPr>
                <w:sz w:val="24"/>
                <w:szCs w:val="24"/>
                <w:color w:val="auto"/>
              </w:rPr>
            </w:pPr>
          </w:p>
        </w:tc>
        <w:tc>
          <w:tcPr>
            <w:tcW w:w="9340" w:type="dxa"/>
            <w:vAlign w:val="bottom"/>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Directors and Executive Officers of the Registrant</w:t>
              </w:r>
            </w:hyperlink>
          </w:p>
        </w:tc>
        <w:tc>
          <w:tcPr>
            <w:tcW w:w="720" w:type="dxa"/>
            <w:vAlign w:val="bottom"/>
            <w:gridSpan w:val="4"/>
          </w:tcPr>
          <w:p>
            <w:pPr>
              <w:jc w:val="right"/>
              <w:ind w:right="360"/>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580" w:type="dxa"/>
            <w:vAlign w:val="bottom"/>
            <w:gridSpan w:val="2"/>
          </w:tcPr>
          <w:p>
            <w:pPr>
              <w:spacing w:after="0"/>
              <w:rPr>
                <w:rFonts w:ascii="Arial" w:cs="Arial" w:eastAsia="Arial" w:hAnsi="Arial"/>
                <w:sz w:val="18"/>
                <w:szCs w:val="18"/>
                <w:color w:val="0000EE"/>
                <w:w w:val="82"/>
              </w:rPr>
            </w:pPr>
            <w:hyperlink w:anchor="page38">
              <w:r>
                <w:rPr>
                  <w:rFonts w:ascii="Arial" w:cs="Arial" w:eastAsia="Arial" w:hAnsi="Arial"/>
                  <w:sz w:val="18"/>
                  <w:szCs w:val="18"/>
                  <w:color w:val="0000EE"/>
                  <w:w w:val="82"/>
                </w:rPr>
                <w:t>Item 11.</w:t>
              </w:r>
            </w:hyperlink>
          </w:p>
        </w:tc>
        <w:tc>
          <w:tcPr>
            <w:tcW w:w="800" w:type="dxa"/>
            <w:vAlign w:val="bottom"/>
            <w:gridSpan w:val="2"/>
          </w:tcPr>
          <w:p>
            <w:pPr>
              <w:spacing w:after="0"/>
              <w:rPr>
                <w:sz w:val="24"/>
                <w:szCs w:val="24"/>
                <w:color w:val="auto"/>
              </w:rPr>
            </w:pPr>
          </w:p>
        </w:tc>
        <w:tc>
          <w:tcPr>
            <w:tcW w:w="3520" w:type="dxa"/>
            <w:vAlign w:val="bottom"/>
            <w:gridSpan w:val="1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Executive Compensation</w:t>
              </w:r>
            </w:hyperlink>
          </w:p>
        </w:tc>
        <w:tc>
          <w:tcPr>
            <w:tcW w:w="5820" w:type="dxa"/>
            <w:vAlign w:val="bottom"/>
            <w:gridSpan w:val="7"/>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gridSpan w:val="3"/>
          </w:tcPr>
          <w:p>
            <w:pPr>
              <w:jc w:val="right"/>
              <w:ind w:right="360"/>
              <w:spacing w:after="0"/>
              <w:rPr>
                <w:rFonts w:ascii="Arial" w:cs="Arial" w:eastAsia="Arial" w:hAnsi="Arial"/>
                <w:sz w:val="16"/>
                <w:szCs w:val="16"/>
                <w:color w:val="0000EE"/>
                <w:w w:val="78"/>
              </w:rPr>
            </w:pPr>
            <w:hyperlink w:anchor="page38">
              <w:r>
                <w:rPr>
                  <w:rFonts w:ascii="Arial" w:cs="Arial" w:eastAsia="Arial" w:hAnsi="Arial"/>
                  <w:sz w:val="16"/>
                  <w:szCs w:val="16"/>
                  <w:color w:val="0000EE"/>
                  <w:w w:val="78"/>
                </w:rPr>
                <w:t>35</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580" w:type="dxa"/>
            <w:vAlign w:val="bottom"/>
            <w:gridSpan w:val="2"/>
          </w:tcPr>
          <w:p>
            <w:pPr>
              <w:spacing w:after="0"/>
              <w:rPr>
                <w:rFonts w:ascii="Arial" w:cs="Arial" w:eastAsia="Arial" w:hAnsi="Arial"/>
                <w:sz w:val="18"/>
                <w:szCs w:val="18"/>
                <w:color w:val="0000EE"/>
                <w:w w:val="82"/>
              </w:rPr>
            </w:pPr>
            <w:hyperlink w:anchor="page38">
              <w:r>
                <w:rPr>
                  <w:rFonts w:ascii="Arial" w:cs="Arial" w:eastAsia="Arial" w:hAnsi="Arial"/>
                  <w:sz w:val="18"/>
                  <w:szCs w:val="18"/>
                  <w:color w:val="0000EE"/>
                  <w:w w:val="82"/>
                </w:rPr>
                <w:t>Item 12.</w:t>
              </w:r>
            </w:hyperlink>
          </w:p>
        </w:tc>
        <w:tc>
          <w:tcPr>
            <w:tcW w:w="800" w:type="dxa"/>
            <w:vAlign w:val="bottom"/>
            <w:gridSpan w:val="2"/>
          </w:tcPr>
          <w:p>
            <w:pPr>
              <w:spacing w:after="0"/>
              <w:rPr>
                <w:sz w:val="24"/>
                <w:szCs w:val="24"/>
                <w:color w:val="auto"/>
              </w:rPr>
            </w:pPr>
          </w:p>
        </w:tc>
        <w:tc>
          <w:tcPr>
            <w:tcW w:w="9340" w:type="dxa"/>
            <w:vAlign w:val="bottom"/>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Security Ownership of Certain Beneficial Owners and Management</w:t>
              </w:r>
            </w:hyperlink>
          </w:p>
        </w:tc>
        <w:tc>
          <w:tcPr>
            <w:tcW w:w="720" w:type="dxa"/>
            <w:vAlign w:val="bottom"/>
            <w:gridSpan w:val="4"/>
          </w:tcPr>
          <w:p>
            <w:pPr>
              <w:jc w:val="right"/>
              <w:ind w:right="360"/>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580" w:type="dxa"/>
            <w:vAlign w:val="bottom"/>
            <w:gridSpan w:val="2"/>
          </w:tcPr>
          <w:p>
            <w:pPr>
              <w:spacing w:after="0"/>
              <w:rPr>
                <w:rFonts w:ascii="Arial" w:cs="Arial" w:eastAsia="Arial" w:hAnsi="Arial"/>
                <w:sz w:val="18"/>
                <w:szCs w:val="18"/>
                <w:color w:val="0000EE"/>
                <w:w w:val="82"/>
              </w:rPr>
            </w:pPr>
            <w:hyperlink w:anchor="page38">
              <w:r>
                <w:rPr>
                  <w:rFonts w:ascii="Arial" w:cs="Arial" w:eastAsia="Arial" w:hAnsi="Arial"/>
                  <w:sz w:val="18"/>
                  <w:szCs w:val="18"/>
                  <w:color w:val="0000EE"/>
                  <w:w w:val="82"/>
                </w:rPr>
                <w:t>Item 13.</w:t>
              </w:r>
            </w:hyperlink>
          </w:p>
        </w:tc>
        <w:tc>
          <w:tcPr>
            <w:tcW w:w="800" w:type="dxa"/>
            <w:vAlign w:val="bottom"/>
            <w:gridSpan w:val="2"/>
          </w:tcPr>
          <w:p>
            <w:pPr>
              <w:spacing w:after="0"/>
              <w:rPr>
                <w:sz w:val="24"/>
                <w:szCs w:val="24"/>
                <w:color w:val="auto"/>
              </w:rPr>
            </w:pPr>
          </w:p>
        </w:tc>
        <w:tc>
          <w:tcPr>
            <w:tcW w:w="4760" w:type="dxa"/>
            <w:vAlign w:val="bottom"/>
            <w:gridSpan w:val="1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Certain Relationships and Related Transactions</w:t>
              </w:r>
            </w:hyperlink>
          </w:p>
        </w:tc>
        <w:tc>
          <w:tcPr>
            <w:tcW w:w="458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gridSpan w:val="3"/>
          </w:tcPr>
          <w:p>
            <w:pPr>
              <w:jc w:val="right"/>
              <w:ind w:right="360"/>
              <w:spacing w:after="0"/>
              <w:rPr>
                <w:rFonts w:ascii="Arial" w:cs="Arial" w:eastAsia="Arial" w:hAnsi="Arial"/>
                <w:sz w:val="16"/>
                <w:szCs w:val="16"/>
                <w:color w:val="0000EE"/>
                <w:w w:val="78"/>
              </w:rPr>
            </w:pPr>
            <w:hyperlink w:anchor="page38">
              <w:r>
                <w:rPr>
                  <w:rFonts w:ascii="Arial" w:cs="Arial" w:eastAsia="Arial" w:hAnsi="Arial"/>
                  <w:sz w:val="16"/>
                  <w:szCs w:val="16"/>
                  <w:color w:val="0000EE"/>
                  <w:w w:val="78"/>
                </w:rPr>
                <w:t>35</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580" w:type="dxa"/>
            <w:vAlign w:val="bottom"/>
            <w:gridSpan w:val="2"/>
          </w:tcPr>
          <w:p>
            <w:pPr>
              <w:spacing w:after="0"/>
              <w:rPr>
                <w:rFonts w:ascii="Arial" w:cs="Arial" w:eastAsia="Arial" w:hAnsi="Arial"/>
                <w:sz w:val="18"/>
                <w:szCs w:val="18"/>
                <w:color w:val="0000EE"/>
                <w:w w:val="82"/>
              </w:rPr>
            </w:pPr>
            <w:hyperlink w:anchor="page38">
              <w:r>
                <w:rPr>
                  <w:rFonts w:ascii="Arial" w:cs="Arial" w:eastAsia="Arial" w:hAnsi="Arial"/>
                  <w:sz w:val="18"/>
                  <w:szCs w:val="18"/>
                  <w:color w:val="0000EE"/>
                  <w:w w:val="82"/>
                </w:rPr>
                <w:t>Item 14.</w:t>
              </w:r>
            </w:hyperlink>
          </w:p>
        </w:tc>
        <w:tc>
          <w:tcPr>
            <w:tcW w:w="800" w:type="dxa"/>
            <w:vAlign w:val="bottom"/>
            <w:gridSpan w:val="2"/>
          </w:tcPr>
          <w:p>
            <w:pPr>
              <w:spacing w:after="0"/>
              <w:rPr>
                <w:sz w:val="24"/>
                <w:szCs w:val="24"/>
                <w:color w:val="auto"/>
              </w:rPr>
            </w:pPr>
          </w:p>
        </w:tc>
        <w:tc>
          <w:tcPr>
            <w:tcW w:w="3320" w:type="dxa"/>
            <w:vAlign w:val="bottom"/>
            <w:gridSpan w:val="1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Principal Accountant Fees and Services</w:t>
              </w:r>
            </w:hyperlink>
          </w:p>
        </w:tc>
        <w:tc>
          <w:tcPr>
            <w:tcW w:w="6020" w:type="dxa"/>
            <w:vAlign w:val="bottom"/>
            <w:gridSpan w:val="8"/>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gridSpan w:val="3"/>
          </w:tcPr>
          <w:p>
            <w:pPr>
              <w:jc w:val="right"/>
              <w:ind w:right="360"/>
              <w:spacing w:after="0"/>
              <w:rPr>
                <w:rFonts w:ascii="Arial" w:cs="Arial" w:eastAsia="Arial" w:hAnsi="Arial"/>
                <w:sz w:val="16"/>
                <w:szCs w:val="16"/>
                <w:color w:val="0000EE"/>
                <w:w w:val="78"/>
              </w:rPr>
            </w:pPr>
            <w:hyperlink w:anchor="page38">
              <w:r>
                <w:rPr>
                  <w:rFonts w:ascii="Arial" w:cs="Arial" w:eastAsia="Arial" w:hAnsi="Arial"/>
                  <w:sz w:val="16"/>
                  <w:szCs w:val="16"/>
                  <w:color w:val="0000EE"/>
                  <w:w w:val="78"/>
                </w:rPr>
                <w:t>35</w:t>
              </w:r>
            </w:hyperlink>
          </w:p>
        </w:tc>
      </w:tr>
      <w:tr>
        <w:trPr>
          <w:trHeight w:val="505"/>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60" w:type="dxa"/>
            <w:vAlign w:val="bottom"/>
            <w:gridSpan w:val="6"/>
          </w:tcPr>
          <w:p>
            <w:pPr>
              <w:jc w:val="center"/>
              <w:ind w:right="4440"/>
              <w:spacing w:after="0"/>
              <w:rPr>
                <w:sz w:val="20"/>
                <w:szCs w:val="20"/>
                <w:color w:val="auto"/>
              </w:rPr>
            </w:pPr>
            <w:r>
              <w:rPr>
                <w:rFonts w:ascii="Arial" w:cs="Arial" w:eastAsia="Arial" w:hAnsi="Arial"/>
                <w:sz w:val="18"/>
                <w:szCs w:val="18"/>
                <w:b w:val="1"/>
                <w:bCs w:val="1"/>
                <w:color w:val="auto"/>
                <w:w w:val="98"/>
              </w:rPr>
              <w:t>PART IV</w:t>
            </w:r>
          </w:p>
        </w:tc>
        <w:tc>
          <w:tcPr>
            <w:tcW w:w="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r>
        <w:trPr>
          <w:trHeight w:val="421"/>
        </w:trPr>
        <w:tc>
          <w:tcPr>
            <w:tcW w:w="580" w:type="dxa"/>
            <w:vAlign w:val="bottom"/>
            <w:gridSpan w:val="2"/>
          </w:tcPr>
          <w:p>
            <w:pPr>
              <w:spacing w:after="0"/>
              <w:rPr>
                <w:rFonts w:ascii="Arial" w:cs="Arial" w:eastAsia="Arial" w:hAnsi="Arial"/>
                <w:sz w:val="18"/>
                <w:szCs w:val="18"/>
                <w:color w:val="0000EE"/>
                <w:w w:val="82"/>
              </w:rPr>
            </w:pPr>
            <w:hyperlink w:anchor="page39">
              <w:r>
                <w:rPr>
                  <w:rFonts w:ascii="Arial" w:cs="Arial" w:eastAsia="Arial" w:hAnsi="Arial"/>
                  <w:sz w:val="18"/>
                  <w:szCs w:val="18"/>
                  <w:color w:val="0000EE"/>
                  <w:w w:val="82"/>
                </w:rPr>
                <w:t>Item 15.</w:t>
              </w:r>
            </w:hyperlink>
          </w:p>
        </w:tc>
        <w:tc>
          <w:tcPr>
            <w:tcW w:w="800" w:type="dxa"/>
            <w:vAlign w:val="bottom"/>
            <w:gridSpan w:val="2"/>
          </w:tcPr>
          <w:p>
            <w:pPr>
              <w:spacing w:after="0"/>
              <w:rPr>
                <w:sz w:val="24"/>
                <w:szCs w:val="24"/>
                <w:color w:val="auto"/>
              </w:rPr>
            </w:pPr>
          </w:p>
        </w:tc>
        <w:tc>
          <w:tcPr>
            <w:tcW w:w="4680" w:type="dxa"/>
            <w:vAlign w:val="bottom"/>
            <w:gridSpan w:val="15"/>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Exhibits, Financial Statement Schedules and Reports on Form 8-K</w:t>
              </w:r>
            </w:hyperlink>
          </w:p>
        </w:tc>
        <w:tc>
          <w:tcPr>
            <w:tcW w:w="466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gridSpan w:val="3"/>
          </w:tcPr>
          <w:p>
            <w:pPr>
              <w:jc w:val="right"/>
              <w:ind w:right="360"/>
              <w:spacing w:after="0"/>
              <w:rPr>
                <w:rFonts w:ascii="Arial" w:cs="Arial" w:eastAsia="Arial" w:hAnsi="Arial"/>
                <w:sz w:val="16"/>
                <w:szCs w:val="16"/>
                <w:color w:val="0000EE"/>
                <w:w w:val="78"/>
              </w:rPr>
            </w:pPr>
            <w:hyperlink w:anchor="page39">
              <w:r>
                <w:rPr>
                  <w:rFonts w:ascii="Arial" w:cs="Arial" w:eastAsia="Arial" w:hAnsi="Arial"/>
                  <w:sz w:val="16"/>
                  <w:szCs w:val="16"/>
                  <w:color w:val="0000EE"/>
                  <w:w w:val="78"/>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2580" w:type="dxa"/>
            <w:vAlign w:val="bottom"/>
            <w:gridSpan w:val="7"/>
            <w:shd w:val="clear" w:color="auto" w:fill="0000EE"/>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00" w:type="dxa"/>
            <w:vAlign w:val="bottom"/>
            <w:gridSpan w:val="8"/>
          </w:tcPr>
          <w:p>
            <w:pPr>
              <w:spacing w:after="0"/>
              <w:rPr>
                <w:rFonts w:ascii="Arial" w:cs="Arial" w:eastAsia="Arial" w:hAnsi="Arial"/>
                <w:sz w:val="18"/>
                <w:szCs w:val="18"/>
                <w:color w:val="0000EE"/>
                <w:w w:val="87"/>
              </w:rPr>
            </w:pPr>
            <w:hyperlink w:anchor="page42">
              <w:r>
                <w:rPr>
                  <w:rFonts w:ascii="Arial" w:cs="Arial" w:eastAsia="Arial" w:hAnsi="Arial"/>
                  <w:sz w:val="18"/>
                  <w:szCs w:val="18"/>
                  <w:color w:val="0000EE"/>
                  <w:w w:val="87"/>
                </w:rPr>
                <w:t>Index to Financial Statements</w:t>
              </w:r>
            </w:hyperlink>
          </w:p>
        </w:tc>
        <w:tc>
          <w:tcPr>
            <w:tcW w:w="2580" w:type="dxa"/>
            <w:vAlign w:val="bottom"/>
            <w:gridSpan w:val="7"/>
          </w:tcPr>
          <w:p>
            <w:pPr>
              <w:spacing w:after="0"/>
              <w:rPr>
                <w:sz w:val="24"/>
                <w:szCs w:val="24"/>
                <w:color w:val="auto"/>
              </w:rPr>
            </w:pPr>
          </w:p>
        </w:tc>
        <w:tc>
          <w:tcPr>
            <w:tcW w:w="466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gridSpan w:val="3"/>
          </w:tcPr>
          <w:p>
            <w:pPr>
              <w:jc w:val="right"/>
              <w:ind w:right="360"/>
              <w:spacing w:after="0"/>
              <w:rPr>
                <w:rFonts w:ascii="Arial" w:cs="Arial" w:eastAsia="Arial" w:hAnsi="Arial"/>
                <w:sz w:val="16"/>
                <w:szCs w:val="16"/>
                <w:color w:val="0000EE"/>
                <w:w w:val="78"/>
              </w:rPr>
            </w:pPr>
            <w:hyperlink w:anchor="page42">
              <w:r>
                <w:rPr>
                  <w:rFonts w:ascii="Arial" w:cs="Arial" w:eastAsia="Arial" w:hAnsi="Arial"/>
                  <w:sz w:val="16"/>
                  <w:szCs w:val="16"/>
                  <w:color w:val="0000EE"/>
                  <w:w w:val="78"/>
                </w:rPr>
                <w:t>39</w:t>
              </w:r>
            </w:hyperlink>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7240" w:type="dxa"/>
            <w:vAlign w:val="bottom"/>
            <w:gridSpan w:val="11"/>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00" w:type="dxa"/>
            <w:vAlign w:val="bottom"/>
            <w:gridSpan w:val="8"/>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Signatures</w:t>
              </w:r>
            </w:hyperlink>
          </w:p>
        </w:tc>
        <w:tc>
          <w:tcPr>
            <w:tcW w:w="7240" w:type="dxa"/>
            <w:vAlign w:val="bottom"/>
            <w:gridSpan w:val="11"/>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gridSpan w:val="3"/>
          </w:tcPr>
          <w:p>
            <w:pPr>
              <w:jc w:val="right"/>
              <w:ind w:right="360"/>
              <w:spacing w:after="0"/>
              <w:rPr>
                <w:rFonts w:ascii="Arial" w:cs="Arial" w:eastAsia="Arial" w:hAnsi="Arial"/>
                <w:sz w:val="16"/>
                <w:szCs w:val="16"/>
                <w:color w:val="0000EE"/>
                <w:w w:val="78"/>
              </w:rPr>
            </w:pPr>
            <w:hyperlink w:anchor="page70">
              <w:r>
                <w:rPr>
                  <w:rFonts w:ascii="Arial" w:cs="Arial" w:eastAsia="Arial" w:hAnsi="Arial"/>
                  <w:sz w:val="16"/>
                  <w:szCs w:val="16"/>
                  <w:color w:val="0000EE"/>
                  <w:w w:val="78"/>
                </w:rPr>
                <w:t>66</w:t>
              </w:r>
            </w:hyperlink>
          </w:p>
        </w:tc>
      </w:tr>
      <w:tr>
        <w:trPr>
          <w:trHeight w:val="733"/>
        </w:trPr>
        <w:tc>
          <w:tcPr>
            <w:tcW w:w="5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62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Safe Harbor Statement under the Securities Litigation Reform Act of 1995: </w:t>
      </w:r>
      <w:r>
        <w:rPr>
          <w:rFonts w:ascii="Arial" w:cs="Arial" w:eastAsia="Arial" w:hAnsi="Arial"/>
          <w:sz w:val="16"/>
          <w:szCs w:val="16"/>
          <w:color w:val="auto"/>
        </w:rPr>
        <w:t>We make forward-looking statements in this report that are based on the beliefs of</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and assumptions made by and information currently available to them. The words “expect,” “anticipate,” “believe,” “may,” “estimate,” “intend” and similar expressions are intended to identify such forward-looking statements. Forward-looking statements involve risks, uncertainties and assumptions described in “Management’s Discussion and Analysis of Financial Condition and Result of Operations – Risk Factors,” which could cause our actual results to be materially different from results expressed or implied by such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a leading global publisher of interactive software games designed for personal computers, and video game consoles and handheld platforms manufactured by Sony, Microsoft and Nintendo. Through our Rockstar Games® subsidiary, we have pursued a growth strategy by capitalizing on the widespread market acceptance of video game consoles, as well as the growing popularity of innovative action games that appeal to mature audiences. We are also seeking to diversify our product offerings through our Globalstar™ subsidiary by capitalizing on perceived growth opportunities in the market for sports and other licensed action and strategy titles.</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5"/>
          <w:szCs w:val="15"/>
          <w:color w:val="auto"/>
        </w:rPr>
        <w:t xml:space="preserve">Our Rockstar publishing subsidiary continues to successfully create new, proprietary brands and sequels to existing brands with broad consumer appeal. Rockstar recently released </w:t>
      </w:r>
      <w:r>
        <w:rPr>
          <w:rFonts w:ascii="Arial" w:cs="Arial" w:eastAsia="Arial" w:hAnsi="Arial"/>
          <w:sz w:val="15"/>
          <w:szCs w:val="15"/>
          <w:i w:val="1"/>
          <w:iCs w:val="1"/>
          <w:color w:val="auto"/>
        </w:rPr>
        <w:t>Grand Theft Auto: San Andreas</w:t>
      </w:r>
      <w:r>
        <w:rPr>
          <w:rFonts w:ascii="Arial" w:cs="Arial" w:eastAsia="Arial" w:hAnsi="Arial"/>
          <w:sz w:val="15"/>
          <w:szCs w:val="15"/>
          <w:color w:val="auto"/>
        </w:rPr>
        <w:t xml:space="preserve">, the highly anticipated next installment to the blockbuster </w:t>
      </w:r>
      <w:r>
        <w:rPr>
          <w:rFonts w:ascii="Arial" w:cs="Arial" w:eastAsia="Arial" w:hAnsi="Arial"/>
          <w:sz w:val="15"/>
          <w:szCs w:val="15"/>
          <w:i w:val="1"/>
          <w:iCs w:val="1"/>
          <w:color w:val="auto"/>
        </w:rPr>
        <w:t>Grand Theft Auto</w:t>
      </w:r>
      <w:r>
        <w:rPr>
          <w:rFonts w:ascii="Arial" w:cs="Arial" w:eastAsia="Arial" w:hAnsi="Arial"/>
          <w:sz w:val="15"/>
          <w:szCs w:val="15"/>
          <w:color w:val="auto"/>
        </w:rPr>
        <w:t xml:space="preserve">® franchise, for the PlayStation®2. </w:t>
      </w:r>
      <w:r>
        <w:rPr>
          <w:rFonts w:ascii="Arial" w:cs="Arial" w:eastAsia="Arial" w:hAnsi="Arial"/>
          <w:sz w:val="15"/>
          <w:szCs w:val="15"/>
          <w:i w:val="1"/>
          <w:iCs w:val="1"/>
          <w:color w:val="auto"/>
        </w:rPr>
        <w:t xml:space="preserve">Grand Theft Auto: San Andreas </w:t>
      </w:r>
      <w:r>
        <w:rPr>
          <w:rFonts w:ascii="Arial" w:cs="Arial" w:eastAsia="Arial" w:hAnsi="Arial"/>
          <w:sz w:val="15"/>
          <w:szCs w:val="15"/>
          <w:color w:val="auto"/>
        </w:rPr>
        <w:t>was the top selling video game for the PlayStation 2 in the United States for the one-month period ended November 27, 2004,</w:t>
      </w:r>
      <w:r>
        <w:rPr>
          <w:rFonts w:ascii="Arial" w:cs="Arial" w:eastAsia="Arial" w:hAnsi="Arial"/>
          <w:sz w:val="15"/>
          <w:szCs w:val="15"/>
          <w:i w:val="1"/>
          <w:iCs w:val="1"/>
          <w:color w:val="auto"/>
        </w:rPr>
        <w:t xml:space="preserve"> </w:t>
      </w:r>
      <w:r>
        <w:rPr>
          <w:rFonts w:ascii="Arial" w:cs="Arial" w:eastAsia="Arial" w:hAnsi="Arial"/>
          <w:sz w:val="15"/>
          <w:szCs w:val="15"/>
          <w:color w:val="auto"/>
        </w:rPr>
        <w:t>with approximately 3.6 million units sold according to NPDFunworld</w:t>
      </w:r>
      <w:r>
        <w:rPr>
          <w:rFonts w:ascii="Arial" w:cs="Arial" w:eastAsia="Arial" w:hAnsi="Arial"/>
          <w:sz w:val="24"/>
          <w:szCs w:val="24"/>
          <w:color w:val="auto"/>
          <w:vertAlign w:val="superscript"/>
        </w:rPr>
        <w:t>SM</w:t>
      </w:r>
      <w:r>
        <w:rPr>
          <w:rFonts w:ascii="Arial" w:cs="Arial" w:eastAsia="Arial" w:hAnsi="Arial"/>
          <w:sz w:val="15"/>
          <w:szCs w:val="15"/>
          <w:color w:val="auto"/>
        </w:rPr>
        <w:t xml:space="preserve">. Rockstar plans to release </w:t>
      </w:r>
      <w:r>
        <w:rPr>
          <w:rFonts w:ascii="Arial" w:cs="Arial" w:eastAsia="Arial" w:hAnsi="Arial"/>
          <w:sz w:val="15"/>
          <w:szCs w:val="15"/>
          <w:i w:val="1"/>
          <w:iCs w:val="1"/>
          <w:color w:val="auto"/>
        </w:rPr>
        <w:t>Grand Theft Auto: San Andreas</w:t>
      </w:r>
      <w:r>
        <w:rPr>
          <w:rFonts w:ascii="Arial" w:cs="Arial" w:eastAsia="Arial" w:hAnsi="Arial"/>
          <w:sz w:val="15"/>
          <w:szCs w:val="15"/>
          <w:color w:val="auto"/>
        </w:rPr>
        <w:t xml:space="preserve"> for the Xbox® and PC in</w:t>
      </w:r>
    </w:p>
    <w:p>
      <w:pPr>
        <w:spacing w:after="0" w:line="3" w:lineRule="exact"/>
        <w:rPr>
          <w:sz w:val="20"/>
          <w:szCs w:val="20"/>
          <w:color w:val="auto"/>
        </w:rPr>
      </w:pPr>
    </w:p>
    <w:p>
      <w:pPr>
        <w:ind w:right="780"/>
        <w:spacing w:after="0" w:line="252" w:lineRule="auto"/>
        <w:rPr>
          <w:sz w:val="20"/>
          <w:szCs w:val="20"/>
          <w:color w:val="auto"/>
        </w:rPr>
      </w:pPr>
      <w:r>
        <w:rPr>
          <w:rFonts w:ascii="Arial" w:cs="Arial" w:eastAsia="Arial" w:hAnsi="Arial"/>
          <w:sz w:val="18"/>
          <w:szCs w:val="18"/>
          <w:color w:val="auto"/>
        </w:rPr>
        <w:t xml:space="preserve">fiscal 2005. Rockstar also expects to release </w:t>
      </w:r>
      <w:r>
        <w:rPr>
          <w:rFonts w:ascii="Arial" w:cs="Arial" w:eastAsia="Arial" w:hAnsi="Arial"/>
          <w:sz w:val="18"/>
          <w:szCs w:val="18"/>
          <w:i w:val="1"/>
          <w:iCs w:val="1"/>
          <w:color w:val="auto"/>
        </w:rPr>
        <w:t>Midnight Club 3: DUB Edition</w:t>
      </w:r>
      <w:r>
        <w:rPr>
          <w:rFonts w:ascii="Arial" w:cs="Arial" w:eastAsia="Arial" w:hAnsi="Arial"/>
          <w:sz w:val="18"/>
          <w:szCs w:val="18"/>
          <w:color w:val="auto"/>
        </w:rPr>
        <w:t xml:space="preserve"> for the PlayStation 2 and Xbox, and </w:t>
      </w:r>
      <w:r>
        <w:rPr>
          <w:rFonts w:ascii="Arial" w:cs="Arial" w:eastAsia="Arial" w:hAnsi="Arial"/>
          <w:sz w:val="18"/>
          <w:szCs w:val="18"/>
          <w:i w:val="1"/>
          <w:iCs w:val="1"/>
          <w:color w:val="auto"/>
        </w:rPr>
        <w:t>The Warriors</w:t>
      </w:r>
      <w:r>
        <w:rPr>
          <w:rFonts w:ascii="Arial" w:cs="Arial" w:eastAsia="Arial" w:hAnsi="Arial"/>
          <w:sz w:val="18"/>
          <w:szCs w:val="18"/>
          <w:color w:val="auto"/>
        </w:rPr>
        <w:t>, a new title based on the Paramount Pictures’ classic 1979 gang drama, for the PlayStation 2.</w:t>
      </w:r>
    </w:p>
    <w:p>
      <w:pPr>
        <w:spacing w:after="0" w:line="2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Our Globalstar subsidiary has recently focused on publishing sports games under an agreement with SEGA Corporation. Following the July 2004 launch of </w:t>
      </w:r>
      <w:r>
        <w:rPr>
          <w:rFonts w:ascii="Arial" w:cs="Arial" w:eastAsia="Arial" w:hAnsi="Arial"/>
          <w:sz w:val="18"/>
          <w:szCs w:val="18"/>
          <w:i w:val="1"/>
          <w:iCs w:val="1"/>
          <w:color w:val="auto"/>
        </w:rPr>
        <w:t>ESPN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NFL 2K5 </w:t>
      </w:r>
      <w:r>
        <w:rPr>
          <w:rFonts w:ascii="Arial" w:cs="Arial" w:eastAsia="Arial" w:hAnsi="Arial"/>
          <w:sz w:val="18"/>
          <w:szCs w:val="18"/>
          <w:color w:val="auto"/>
        </w:rPr>
        <w:t>(professional football) for the PlayStation 2 and Xbox at a $19.99 suggested retail price, we released</w:t>
      </w:r>
      <w:r>
        <w:rPr>
          <w:rFonts w:ascii="Arial" w:cs="Arial" w:eastAsia="Arial" w:hAnsi="Arial"/>
          <w:sz w:val="18"/>
          <w:szCs w:val="18"/>
          <w:i w:val="1"/>
          <w:iCs w:val="1"/>
          <w:color w:val="auto"/>
        </w:rPr>
        <w:t xml:space="preserve"> ESPN NHL 2K5 </w:t>
      </w:r>
      <w:r>
        <w:rPr>
          <w:rFonts w:ascii="Arial" w:cs="Arial" w:eastAsia="Arial" w:hAnsi="Arial"/>
          <w:sz w:val="18"/>
          <w:szCs w:val="18"/>
          <w:color w:val="auto"/>
        </w:rPr>
        <w:t>(professional hockey),</w:t>
      </w:r>
      <w:r>
        <w:rPr>
          <w:rFonts w:ascii="Arial" w:cs="Arial" w:eastAsia="Arial" w:hAnsi="Arial"/>
          <w:sz w:val="18"/>
          <w:szCs w:val="18"/>
          <w:i w:val="1"/>
          <w:iCs w:val="1"/>
          <w:color w:val="auto"/>
        </w:rPr>
        <w:t xml:space="preserve"> ESPN NBA 2K5 </w:t>
      </w:r>
      <w:r>
        <w:rPr>
          <w:rFonts w:ascii="Arial" w:cs="Arial" w:eastAsia="Arial" w:hAnsi="Arial"/>
          <w:sz w:val="18"/>
          <w:szCs w:val="18"/>
          <w:color w:val="auto"/>
        </w:rPr>
        <w:t>(professional basketball) and</w:t>
      </w:r>
      <w:r>
        <w:rPr>
          <w:rFonts w:ascii="Arial" w:cs="Arial" w:eastAsia="Arial" w:hAnsi="Arial"/>
          <w:sz w:val="18"/>
          <w:szCs w:val="18"/>
          <w:i w:val="1"/>
          <w:iCs w:val="1"/>
          <w:color w:val="auto"/>
        </w:rPr>
        <w:t xml:space="preserve"> ESPN College Hoops 2K5 </w:t>
      </w:r>
      <w:r>
        <w:rPr>
          <w:rFonts w:ascii="Arial" w:cs="Arial" w:eastAsia="Arial" w:hAnsi="Arial"/>
          <w:sz w:val="18"/>
          <w:szCs w:val="18"/>
          <w:color w:val="auto"/>
        </w:rPr>
        <w:t>(college basketball) for the PlayStation 2 and Xbox. As of November 27, 2004, we sold 3.4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units of these four sports titles according to NPDFunworld. Globalstar is also concentrating on publishing titles incorporating popular licensed properties, including a title based on Charlie and The Chocolate Factory.</w:t>
      </w:r>
    </w:p>
    <w:p>
      <w:pPr>
        <w:spacing w:after="0" w:line="19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also distribute our products as well as third-party software, hardware and accessories to retail outlets in North America through our Jack of All Games subsidiary. Our customers in North America include Best Buy, Blockbuster, Circuit City, Electronics Boutique, GameStop, Target, Toys “R” Us, Wal-Mart, and other leading national and regional drug store, supermarket and discount store chains and specialty retailers. We also have sales, marketing and publishing operations in Australia, Austria, Canada, France, Germany, Holland, Italy, New Zealand, Spain and the United Kingdom.</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were incorporated under the laws of the State of Delaware in 1993. Our Internet address is www.take2games.com. We make available free of charge on our website our periodic reports filed with the SEC under applicable law as soon as reasonably practicable after we file such material. The information on our website is not part of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Developments</w:t>
      </w:r>
    </w:p>
    <w:p>
      <w:pPr>
        <w:spacing w:after="0" w:line="2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Effective May 2004, we entered into a three-year agreement with SEGA Corporation, whereby we co-publish and exclusively distribute SEGA’s sports titles. Pursuant to an option agreement with SEGA, we have the right to acquire Visual Concepts Entertainment, Inc. (“Visual Concepts”) and its subsidiary Kush Games (“Kush”), California-based developers of SEGA’s sports titles, and the intellectual property rights associated with the realistic sports simulation games developed and/or produced by Visual Concepts and Kush. We recently acquired certain assets from Microsoft Corporation, including Indie Built (“Indie”), the developer of the successful </w:t>
      </w:r>
      <w:r>
        <w:rPr>
          <w:rFonts w:ascii="Arial" w:cs="Arial" w:eastAsia="Arial" w:hAnsi="Arial"/>
          <w:sz w:val="16"/>
          <w:szCs w:val="16"/>
          <w:i w:val="1"/>
          <w:iCs w:val="1"/>
          <w:color w:val="auto"/>
        </w:rPr>
        <w:t>Top Spin</w:t>
      </w:r>
      <w:r>
        <w:rPr>
          <w:rFonts w:ascii="Arial" w:cs="Arial" w:eastAsia="Arial" w:hAnsi="Arial"/>
          <w:sz w:val="16"/>
          <w:szCs w:val="16"/>
          <w:color w:val="auto"/>
        </w:rPr>
        <w:t xml:space="preserve"> (tennis), </w:t>
      </w:r>
      <w:r>
        <w:rPr>
          <w:rFonts w:ascii="Arial" w:cs="Arial" w:eastAsia="Arial" w:hAnsi="Arial"/>
          <w:sz w:val="16"/>
          <w:szCs w:val="16"/>
          <w:i w:val="1"/>
          <w:iCs w:val="1"/>
          <w:color w:val="auto"/>
        </w:rPr>
        <w:t>Amped</w:t>
      </w:r>
      <w:r>
        <w:rPr>
          <w:rFonts w:ascii="Arial" w:cs="Arial" w:eastAsia="Arial" w:hAnsi="Arial"/>
          <w:sz w:val="16"/>
          <w:szCs w:val="16"/>
          <w:color w:val="auto"/>
        </w:rPr>
        <w:t xml:space="preserve"> and </w:t>
      </w:r>
      <w:r>
        <w:rPr>
          <w:rFonts w:ascii="Arial" w:cs="Arial" w:eastAsia="Arial" w:hAnsi="Arial"/>
          <w:sz w:val="16"/>
          <w:szCs w:val="16"/>
          <w:i w:val="1"/>
          <w:iCs w:val="1"/>
          <w:color w:val="auto"/>
        </w:rPr>
        <w:t>Amped 2</w:t>
      </w:r>
      <w:r>
        <w:rPr>
          <w:rFonts w:ascii="Arial" w:cs="Arial" w:eastAsia="Arial" w:hAnsi="Arial"/>
          <w:sz w:val="16"/>
          <w:szCs w:val="16"/>
          <w:color w:val="auto"/>
        </w:rPr>
        <w:t xml:space="preserve"> (snowboarding) and </w:t>
      </w:r>
      <w:r>
        <w:rPr>
          <w:rFonts w:ascii="Arial" w:cs="Arial" w:eastAsia="Arial" w:hAnsi="Arial"/>
          <w:sz w:val="16"/>
          <w:szCs w:val="16"/>
          <w:i w:val="1"/>
          <w:iCs w:val="1"/>
          <w:color w:val="auto"/>
        </w:rPr>
        <w:t>Links</w:t>
      </w:r>
      <w:r>
        <w:rPr>
          <w:rFonts w:ascii="Arial" w:cs="Arial" w:eastAsia="Arial" w:hAnsi="Arial"/>
          <w:sz w:val="16"/>
          <w:szCs w:val="16"/>
          <w:color w:val="auto"/>
        </w:rPr>
        <w:t xml:space="preserve"> (golf) sports games, and the intellectual property rights associated with these products. In addition, we acquired Venom Games Limited (“Venom”), a UK-based developer of the boxing games </w:t>
      </w:r>
      <w:r>
        <w:rPr>
          <w:rFonts w:ascii="Arial" w:cs="Arial" w:eastAsia="Arial" w:hAnsi="Arial"/>
          <w:sz w:val="16"/>
          <w:szCs w:val="16"/>
          <w:i w:val="1"/>
          <w:iCs w:val="1"/>
          <w:color w:val="auto"/>
        </w:rPr>
        <w:t>Rocky</w:t>
      </w:r>
      <w:r>
        <w:rPr>
          <w:rFonts w:ascii="Arial" w:cs="Arial" w:eastAsia="Arial" w:hAnsi="Arial"/>
          <w:sz w:val="16"/>
          <w:szCs w:val="16"/>
          <w:color w:val="auto"/>
        </w:rPr>
        <w:t xml:space="preserve"> and </w:t>
      </w:r>
      <w:r>
        <w:rPr>
          <w:rFonts w:ascii="Arial" w:cs="Arial" w:eastAsia="Arial" w:hAnsi="Arial"/>
          <w:sz w:val="16"/>
          <w:szCs w:val="16"/>
          <w:i w:val="1"/>
          <w:iCs w:val="1"/>
          <w:color w:val="auto"/>
        </w:rPr>
        <w:t>Rocky Legends</w:t>
      </w:r>
      <w:r>
        <w:rPr>
          <w:rFonts w:ascii="Arial" w:cs="Arial" w:eastAsia="Arial" w:hAnsi="Arial"/>
          <w:sz w:val="16"/>
          <w:szCs w:val="16"/>
          <w:color w:val="auto"/>
        </w:rPr>
        <w:t>. See “Co-publishing and Distribution Agreement with SEGA,” “Management’s Discussion and Analysis of Financial Corporations Results of Operations – Business Acquisitions” and Note 3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Expanding gamer demographics has driven demand for interactive entertainment software in recent years. Video games have increasingly become a mainstream entertainment choice for a maturing, technologically sophisticated audience. According to the International Development Group (“IDG”), the average age of Americans who play video and PC games is 29, with an estimated 60% of all Americans, or approximately 145 million people, playing video games on a regular basis.</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According to IDG, sales of video game hardware and software and PC games reached $11.2 billion in the United States, and $8.2 billion in Europe, in 2003. Strong demand for interactive software games is expected to continue as a result of increasing penetration of video game console platforms. Video game hardware manufacturers offer platforms with more powerful and realistic graphics, backwards compatibility (the ability to play the platforms’ previous generation of games), broadband connectivity and media convergence features.</w:t>
      </w:r>
    </w:p>
    <w:p>
      <w:pPr>
        <w:spacing w:after="0" w:line="19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Sony has announced plans to launch the PlayStation Portable™ (“PSP”), a multipurpose handheld platform for games, movies and music, which is expected to become available in North America in March 2005. We recently acquired Mobius Entertainment Limited (“Mobius”), a UK-based developer of games designed to operate on handheld devices, such as Sony’s PSP. Nintendo recently introduced the DS, a dual screen handheld gaming device, featuring a touch screen, wireless gameplay and text messaging capabilities. Also, Microsoft is expected to launch its next-generation platform, the Xbox 2, for the 2005 holiday season, and Sony is expected to launch its next-generation platform, the PlayStation 3, in 2006. These platforms are expected to accelerate the fusion of music, movies, video gameplay and online computer entertainment.</w:t>
      </w:r>
    </w:p>
    <w:p>
      <w:pPr>
        <w:spacing w:after="0" w:line="1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devoted our principal efforts and resources toward developing highly successful cutting edge proprietary intellectual properties; establishing well-known product brands with significant potential for sequels; and focusing our creative efforts on delivering games that are attractive to a broad demographic. We continue to diversify our publishing operations, and our Jack of All Games distribution subsidiary continues to capitalize on the growing installed base of hardware and the proliferation of software titles and outlets to purchase software. We believe that we are positioned for future growth as the interactive entertainment industry continues to expand and evolve.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2004 Product Launches</w:t>
      </w:r>
    </w:p>
    <w:p>
      <w:pPr>
        <w:spacing w:after="0" w:line="2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publish products in the action, racing, strategy, sports and simulation genres. During fiscal 2004, we published 9 new internally developed titles and 33 new titles developed by third parties. Of these titles, 3 internally developed titles and 4 externally developed titles sold more than one million units across all platforms, and 7 externally developed titles sold more than 500,000 units across all platforms.</w:t>
      </w:r>
    </w:p>
    <w:p>
      <w:pPr>
        <w:spacing w:after="0" w:line="19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 xml:space="preserve">Grand Theft Auto </w:t>
      </w:r>
      <w:r>
        <w:rPr>
          <w:rFonts w:ascii="Arial" w:cs="Arial" w:eastAsia="Arial" w:hAnsi="Arial"/>
          <w:sz w:val="18"/>
          <w:szCs w:val="18"/>
          <w:color w:val="auto"/>
        </w:rPr>
        <w:t>products accounted for approximately 34.3% of our revenues for fiscal 2004, with</w:t>
      </w:r>
      <w:r>
        <w:rPr>
          <w:rFonts w:ascii="Arial" w:cs="Arial" w:eastAsia="Arial" w:hAnsi="Arial"/>
          <w:sz w:val="18"/>
          <w:szCs w:val="18"/>
          <w:i w:val="1"/>
          <w:iCs w:val="1"/>
          <w:color w:val="auto"/>
        </w:rPr>
        <w:t xml:space="preserve"> Grand Theft Auto: San Andreas </w:t>
      </w:r>
      <w:r>
        <w:rPr>
          <w:rFonts w:ascii="Arial" w:cs="Arial" w:eastAsia="Arial" w:hAnsi="Arial"/>
          <w:sz w:val="18"/>
          <w:szCs w:val="18"/>
          <w:color w:val="auto"/>
        </w:rPr>
        <w:t>for the PlayStation 2;</w:t>
      </w:r>
      <w:r>
        <w:rPr>
          <w:rFonts w:ascii="Arial" w:cs="Arial" w:eastAsia="Arial" w:hAnsi="Arial"/>
          <w:sz w:val="18"/>
          <w:szCs w:val="18"/>
          <w:i w:val="1"/>
          <w:iCs w:val="1"/>
          <w:color w:val="auto"/>
        </w:rPr>
        <w:t xml:space="preserve"> Grand Theft Auto Double Pack </w:t>
      </w:r>
      <w:r>
        <w:rPr>
          <w:rFonts w:ascii="Arial" w:cs="Arial" w:eastAsia="Arial" w:hAnsi="Arial"/>
          <w:sz w:val="18"/>
          <w:szCs w:val="18"/>
          <w:color w:val="auto"/>
        </w:rPr>
        <w:t>for the Xbox; and</w:t>
      </w:r>
      <w:r>
        <w:rPr>
          <w:rFonts w:ascii="Arial" w:cs="Arial" w:eastAsia="Arial" w:hAnsi="Arial"/>
          <w:sz w:val="18"/>
          <w:szCs w:val="18"/>
          <w:i w:val="1"/>
          <w:iCs w:val="1"/>
          <w:color w:val="auto"/>
        </w:rPr>
        <w:t xml:space="preserve"> Grand Theft Auto: Vice City </w:t>
      </w:r>
      <w:r>
        <w:rPr>
          <w:rFonts w:ascii="Arial" w:cs="Arial" w:eastAsia="Arial" w:hAnsi="Arial"/>
          <w:sz w:val="18"/>
          <w:szCs w:val="18"/>
          <w:color w:val="auto"/>
        </w:rPr>
        <w:t>for the PlayStation 2 accounting for 20.9%, 5.7% and 3.6%, respectively, of our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this year. No other product accounted for more than 10% of our revenues for this year.</w:t>
      </w:r>
    </w:p>
    <w:p>
      <w:pPr>
        <w:spacing w:after="0" w:line="19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Our frontline products sell at retail for $49.95 in North America. Products that are designated Sony’s Greatest Hits and Microsoft’s Platinum Hits sell for $19.99. We currently offer our sports titles at $19.99, and we position other value-priced product offerings at $9.99. We include online capability features in certain of our PC, PlayStation 2 and Xbox titles, which permits users to play against one another on the Internet.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certain of our products released in fiscal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3280" w:type="dxa"/>
            <w:vAlign w:val="bottom"/>
          </w:tcPr>
          <w:p>
            <w:pPr>
              <w:ind w:left="820"/>
              <w:spacing w:after="0"/>
              <w:rPr>
                <w:sz w:val="20"/>
                <w:szCs w:val="20"/>
                <w:color w:val="auto"/>
              </w:rPr>
            </w:pPr>
            <w:r>
              <w:rPr>
                <w:rFonts w:ascii="Arial" w:cs="Arial" w:eastAsia="Arial" w:hAnsi="Arial"/>
                <w:sz w:val="18"/>
                <w:szCs w:val="18"/>
                <w:b w:val="1"/>
                <w:bCs w:val="1"/>
                <w:color w:val="auto"/>
              </w:rPr>
              <w:t>Platform</w:t>
            </w:r>
          </w:p>
        </w:tc>
        <w:tc>
          <w:tcPr>
            <w:tcW w:w="3820" w:type="dxa"/>
            <w:vAlign w:val="bottom"/>
          </w:tcPr>
          <w:p>
            <w:pPr>
              <w:ind w:left="840"/>
              <w:spacing w:after="0"/>
              <w:rPr>
                <w:sz w:val="20"/>
                <w:szCs w:val="20"/>
                <w:color w:val="auto"/>
              </w:rPr>
            </w:pPr>
            <w:r>
              <w:rPr>
                <w:rFonts w:ascii="Arial" w:cs="Arial" w:eastAsia="Arial" w:hAnsi="Arial"/>
                <w:sz w:val="18"/>
                <w:szCs w:val="18"/>
                <w:b w:val="1"/>
                <w:bCs w:val="1"/>
                <w:color w:val="auto"/>
              </w:rPr>
              <w:t>Release Date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Grand Theft Auto: San Andreas</w:t>
            </w:r>
          </w:p>
        </w:tc>
        <w:tc>
          <w:tcPr>
            <w:tcW w:w="3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PS2</w:t>
            </w:r>
          </w:p>
        </w:tc>
        <w:tc>
          <w:tcPr>
            <w:tcW w:w="3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October 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Conflict: Vietnam</w:t>
            </w:r>
          </w:p>
        </w:tc>
        <w:tc>
          <w:tcPr>
            <w:tcW w:w="3280" w:type="dxa"/>
            <w:vAlign w:val="bottom"/>
          </w:tcPr>
          <w:p>
            <w:pPr>
              <w:ind w:left="820"/>
              <w:spacing w:after="0"/>
              <w:rPr>
                <w:sz w:val="20"/>
                <w:szCs w:val="20"/>
                <w:color w:val="auto"/>
              </w:rPr>
            </w:pPr>
            <w:r>
              <w:rPr>
                <w:rFonts w:ascii="Arial" w:cs="Arial" w:eastAsia="Arial" w:hAnsi="Arial"/>
                <w:sz w:val="18"/>
                <w:szCs w:val="18"/>
                <w:color w:val="auto"/>
              </w:rPr>
              <w:t>PS2; Xbox; PC</w:t>
            </w:r>
          </w:p>
        </w:tc>
        <w:tc>
          <w:tcPr>
            <w:tcW w:w="3820" w:type="dxa"/>
            <w:vAlign w:val="bottom"/>
          </w:tcPr>
          <w:p>
            <w:pPr>
              <w:ind w:left="840"/>
              <w:spacing w:after="0"/>
              <w:rPr>
                <w:sz w:val="20"/>
                <w:szCs w:val="20"/>
                <w:color w:val="auto"/>
              </w:rPr>
            </w:pPr>
            <w:r>
              <w:rPr>
                <w:rFonts w:ascii="Arial" w:cs="Arial" w:eastAsia="Arial" w:hAnsi="Arial"/>
                <w:sz w:val="18"/>
                <w:szCs w:val="18"/>
                <w:color w:val="auto"/>
              </w:rPr>
              <w:t>October 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Outlaw Golf 2</w:t>
            </w:r>
          </w:p>
        </w:tc>
        <w:tc>
          <w:tcPr>
            <w:tcW w:w="3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Xbox</w:t>
            </w:r>
          </w:p>
        </w:tc>
        <w:tc>
          <w:tcPr>
            <w:tcW w:w="3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October 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Codename: Kids Next Door – Operation S.O.D.A</w:t>
            </w:r>
          </w:p>
        </w:tc>
        <w:tc>
          <w:tcPr>
            <w:tcW w:w="3280" w:type="dxa"/>
            <w:vAlign w:val="bottom"/>
          </w:tcPr>
          <w:p>
            <w:pPr>
              <w:ind w:left="820"/>
              <w:spacing w:after="0"/>
              <w:rPr>
                <w:sz w:val="20"/>
                <w:szCs w:val="20"/>
                <w:color w:val="auto"/>
              </w:rPr>
            </w:pPr>
            <w:r>
              <w:rPr>
                <w:rFonts w:ascii="Arial" w:cs="Arial" w:eastAsia="Arial" w:hAnsi="Arial"/>
                <w:sz w:val="18"/>
                <w:szCs w:val="18"/>
                <w:color w:val="auto"/>
              </w:rPr>
              <w:t>GBA</w:t>
            </w:r>
          </w:p>
        </w:tc>
        <w:tc>
          <w:tcPr>
            <w:tcW w:w="3820" w:type="dxa"/>
            <w:vAlign w:val="bottom"/>
          </w:tcPr>
          <w:p>
            <w:pPr>
              <w:ind w:left="840"/>
              <w:spacing w:after="0"/>
              <w:rPr>
                <w:sz w:val="20"/>
                <w:szCs w:val="20"/>
                <w:color w:val="auto"/>
              </w:rPr>
            </w:pPr>
            <w:r>
              <w:rPr>
                <w:rFonts w:ascii="Arial" w:cs="Arial" w:eastAsia="Arial" w:hAnsi="Arial"/>
                <w:sz w:val="18"/>
                <w:szCs w:val="18"/>
                <w:color w:val="auto"/>
              </w:rPr>
              <w:t>October 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Robotech Invasion</w:t>
            </w:r>
          </w:p>
        </w:tc>
        <w:tc>
          <w:tcPr>
            <w:tcW w:w="3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PS2; Xbox</w:t>
            </w:r>
          </w:p>
        </w:tc>
        <w:tc>
          <w:tcPr>
            <w:tcW w:w="3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October 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Scaler</w:t>
            </w:r>
          </w:p>
        </w:tc>
        <w:tc>
          <w:tcPr>
            <w:tcW w:w="3280" w:type="dxa"/>
            <w:vAlign w:val="bottom"/>
          </w:tcPr>
          <w:p>
            <w:pPr>
              <w:ind w:left="820"/>
              <w:spacing w:after="0"/>
              <w:rPr>
                <w:sz w:val="20"/>
                <w:szCs w:val="20"/>
                <w:color w:val="auto"/>
              </w:rPr>
            </w:pPr>
            <w:r>
              <w:rPr>
                <w:rFonts w:ascii="Arial" w:cs="Arial" w:eastAsia="Arial" w:hAnsi="Arial"/>
                <w:sz w:val="18"/>
                <w:szCs w:val="18"/>
                <w:color w:val="auto"/>
              </w:rPr>
              <w:t>PS2; Xbox</w:t>
            </w:r>
          </w:p>
        </w:tc>
        <w:tc>
          <w:tcPr>
            <w:tcW w:w="3820" w:type="dxa"/>
            <w:vAlign w:val="bottom"/>
          </w:tcPr>
          <w:p>
            <w:pPr>
              <w:ind w:left="840"/>
              <w:spacing w:after="0"/>
              <w:rPr>
                <w:sz w:val="20"/>
                <w:szCs w:val="20"/>
                <w:color w:val="auto"/>
              </w:rPr>
            </w:pPr>
            <w:r>
              <w:rPr>
                <w:rFonts w:ascii="Arial" w:cs="Arial" w:eastAsia="Arial" w:hAnsi="Arial"/>
                <w:sz w:val="18"/>
                <w:szCs w:val="18"/>
                <w:color w:val="auto"/>
              </w:rPr>
              <w:t>October 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ESPN NBA 2K5</w:t>
            </w:r>
          </w:p>
        </w:tc>
        <w:tc>
          <w:tcPr>
            <w:tcW w:w="3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PS2; Xbox</w:t>
            </w:r>
          </w:p>
        </w:tc>
        <w:tc>
          <w:tcPr>
            <w:tcW w:w="3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September 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Kohan II: Kings of War</w:t>
            </w:r>
          </w:p>
        </w:tc>
        <w:tc>
          <w:tcPr>
            <w:tcW w:w="3280" w:type="dxa"/>
            <w:vAlign w:val="bottom"/>
          </w:tcPr>
          <w:p>
            <w:pPr>
              <w:ind w:left="820"/>
              <w:spacing w:after="0"/>
              <w:rPr>
                <w:sz w:val="20"/>
                <w:szCs w:val="20"/>
                <w:color w:val="auto"/>
              </w:rPr>
            </w:pPr>
            <w:r>
              <w:rPr>
                <w:rFonts w:ascii="Arial" w:cs="Arial" w:eastAsia="Arial" w:hAnsi="Arial"/>
                <w:sz w:val="18"/>
                <w:szCs w:val="18"/>
                <w:color w:val="auto"/>
              </w:rPr>
              <w:t>PC</w:t>
            </w:r>
          </w:p>
        </w:tc>
        <w:tc>
          <w:tcPr>
            <w:tcW w:w="3820" w:type="dxa"/>
            <w:vAlign w:val="bottom"/>
          </w:tcPr>
          <w:p>
            <w:pPr>
              <w:ind w:left="840"/>
              <w:spacing w:after="0"/>
              <w:rPr>
                <w:sz w:val="20"/>
                <w:szCs w:val="20"/>
                <w:color w:val="auto"/>
              </w:rPr>
            </w:pPr>
            <w:r>
              <w:rPr>
                <w:rFonts w:ascii="Arial" w:cs="Arial" w:eastAsia="Arial" w:hAnsi="Arial"/>
                <w:sz w:val="18"/>
                <w:szCs w:val="18"/>
                <w:color w:val="auto"/>
              </w:rPr>
              <w:t>September 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Vietcong: Purple Haze</w:t>
            </w:r>
          </w:p>
        </w:tc>
        <w:tc>
          <w:tcPr>
            <w:tcW w:w="3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PS2; Xbox</w:t>
            </w:r>
          </w:p>
        </w:tc>
        <w:tc>
          <w:tcPr>
            <w:tcW w:w="3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September 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ESPN NHL 2K5</w:t>
            </w:r>
          </w:p>
        </w:tc>
        <w:tc>
          <w:tcPr>
            <w:tcW w:w="3280" w:type="dxa"/>
            <w:vAlign w:val="bottom"/>
          </w:tcPr>
          <w:p>
            <w:pPr>
              <w:ind w:left="820"/>
              <w:spacing w:after="0"/>
              <w:rPr>
                <w:sz w:val="20"/>
                <w:szCs w:val="20"/>
                <w:color w:val="auto"/>
              </w:rPr>
            </w:pPr>
            <w:r>
              <w:rPr>
                <w:rFonts w:ascii="Arial" w:cs="Arial" w:eastAsia="Arial" w:hAnsi="Arial"/>
                <w:sz w:val="18"/>
                <w:szCs w:val="18"/>
                <w:color w:val="auto"/>
              </w:rPr>
              <w:t>PS2; Xbox</w:t>
            </w:r>
          </w:p>
        </w:tc>
        <w:tc>
          <w:tcPr>
            <w:tcW w:w="3820" w:type="dxa"/>
            <w:vAlign w:val="bottom"/>
          </w:tcPr>
          <w:p>
            <w:pPr>
              <w:ind w:left="840"/>
              <w:spacing w:after="0"/>
              <w:rPr>
                <w:sz w:val="20"/>
                <w:szCs w:val="20"/>
                <w:color w:val="auto"/>
              </w:rPr>
            </w:pPr>
            <w:r>
              <w:rPr>
                <w:rFonts w:ascii="Arial" w:cs="Arial" w:eastAsia="Arial" w:hAnsi="Arial"/>
                <w:sz w:val="18"/>
                <w:szCs w:val="18"/>
                <w:color w:val="auto"/>
              </w:rPr>
              <w:t>August 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The Guy Game</w:t>
            </w:r>
          </w:p>
        </w:tc>
        <w:tc>
          <w:tcPr>
            <w:tcW w:w="3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PS2; Xbox</w:t>
            </w:r>
          </w:p>
        </w:tc>
        <w:tc>
          <w:tcPr>
            <w:tcW w:w="3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August 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ESPN NFL 2K5</w:t>
            </w:r>
          </w:p>
        </w:tc>
        <w:tc>
          <w:tcPr>
            <w:tcW w:w="3280" w:type="dxa"/>
            <w:vAlign w:val="bottom"/>
          </w:tcPr>
          <w:p>
            <w:pPr>
              <w:ind w:left="820"/>
              <w:spacing w:after="0"/>
              <w:rPr>
                <w:sz w:val="20"/>
                <w:szCs w:val="20"/>
                <w:color w:val="auto"/>
              </w:rPr>
            </w:pPr>
            <w:r>
              <w:rPr>
                <w:rFonts w:ascii="Arial" w:cs="Arial" w:eastAsia="Arial" w:hAnsi="Arial"/>
                <w:sz w:val="18"/>
                <w:szCs w:val="18"/>
                <w:color w:val="auto"/>
              </w:rPr>
              <w:t>PS2; Xbox</w:t>
            </w:r>
          </w:p>
        </w:tc>
        <w:tc>
          <w:tcPr>
            <w:tcW w:w="3820" w:type="dxa"/>
            <w:vAlign w:val="bottom"/>
          </w:tcPr>
          <w:p>
            <w:pPr>
              <w:ind w:left="840"/>
              <w:spacing w:after="0"/>
              <w:rPr>
                <w:sz w:val="20"/>
                <w:szCs w:val="20"/>
                <w:color w:val="auto"/>
              </w:rPr>
            </w:pPr>
            <w:r>
              <w:rPr>
                <w:rFonts w:ascii="Arial" w:cs="Arial" w:eastAsia="Arial" w:hAnsi="Arial"/>
                <w:sz w:val="18"/>
                <w:szCs w:val="18"/>
                <w:color w:val="auto"/>
              </w:rPr>
              <w:t>July 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Army Men: Sarge’s War</w:t>
            </w:r>
          </w:p>
        </w:tc>
        <w:tc>
          <w:tcPr>
            <w:tcW w:w="3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Xbox; PC; GameCube</w:t>
            </w:r>
          </w:p>
        </w:tc>
        <w:tc>
          <w:tcPr>
            <w:tcW w:w="3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July 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Manhunt</w:t>
            </w:r>
          </w:p>
        </w:tc>
        <w:tc>
          <w:tcPr>
            <w:tcW w:w="3280" w:type="dxa"/>
            <w:vAlign w:val="bottom"/>
          </w:tcPr>
          <w:p>
            <w:pPr>
              <w:ind w:left="820"/>
              <w:spacing w:after="0"/>
              <w:rPr>
                <w:sz w:val="20"/>
                <w:szCs w:val="20"/>
                <w:color w:val="auto"/>
              </w:rPr>
            </w:pPr>
            <w:r>
              <w:rPr>
                <w:rFonts w:ascii="Arial" w:cs="Arial" w:eastAsia="Arial" w:hAnsi="Arial"/>
                <w:sz w:val="18"/>
                <w:szCs w:val="18"/>
                <w:color w:val="auto"/>
              </w:rPr>
              <w:t>Xbox; PC</w:t>
            </w:r>
          </w:p>
        </w:tc>
        <w:tc>
          <w:tcPr>
            <w:tcW w:w="3820" w:type="dxa"/>
            <w:vAlign w:val="bottom"/>
          </w:tcPr>
          <w:p>
            <w:pPr>
              <w:ind w:left="840"/>
              <w:spacing w:after="0"/>
              <w:rPr>
                <w:sz w:val="20"/>
                <w:szCs w:val="20"/>
                <w:color w:val="auto"/>
              </w:rPr>
            </w:pPr>
            <w:r>
              <w:rPr>
                <w:rFonts w:ascii="Arial" w:cs="Arial" w:eastAsia="Arial" w:hAnsi="Arial"/>
                <w:sz w:val="18"/>
                <w:szCs w:val="18"/>
                <w:color w:val="auto"/>
              </w:rPr>
              <w:t>April 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3280" w:type="dxa"/>
            <w:vAlign w:val="bottom"/>
          </w:tcPr>
          <w:p>
            <w:pPr>
              <w:ind w:left="820"/>
              <w:spacing w:after="0"/>
              <w:rPr>
                <w:sz w:val="20"/>
                <w:szCs w:val="20"/>
                <w:color w:val="auto"/>
              </w:rPr>
            </w:pPr>
            <w:r>
              <w:rPr>
                <w:rFonts w:ascii="Arial" w:cs="Arial" w:eastAsia="Arial" w:hAnsi="Arial"/>
                <w:sz w:val="18"/>
                <w:szCs w:val="18"/>
                <w:color w:val="auto"/>
              </w:rPr>
              <w:t>PS2</w:t>
            </w:r>
          </w:p>
        </w:tc>
        <w:tc>
          <w:tcPr>
            <w:tcW w:w="3820" w:type="dxa"/>
            <w:vAlign w:val="bottom"/>
          </w:tcPr>
          <w:p>
            <w:pPr>
              <w:ind w:left="840"/>
              <w:spacing w:after="0"/>
              <w:rPr>
                <w:sz w:val="20"/>
                <w:szCs w:val="20"/>
                <w:color w:val="auto"/>
              </w:rPr>
            </w:pPr>
            <w:r>
              <w:rPr>
                <w:rFonts w:ascii="Arial" w:cs="Arial" w:eastAsia="Arial" w:hAnsi="Arial"/>
                <w:sz w:val="18"/>
                <w:szCs w:val="18"/>
                <w:color w:val="auto"/>
              </w:rPr>
              <w:t>November 2003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Red Dead Revolver</w:t>
            </w:r>
          </w:p>
        </w:tc>
        <w:tc>
          <w:tcPr>
            <w:tcW w:w="3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PS2; Xbox</w:t>
            </w:r>
          </w:p>
        </w:tc>
        <w:tc>
          <w:tcPr>
            <w:tcW w:w="3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April 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Serious Sam: Next Encounter</w:t>
            </w:r>
          </w:p>
        </w:tc>
        <w:tc>
          <w:tcPr>
            <w:tcW w:w="3280" w:type="dxa"/>
            <w:vAlign w:val="bottom"/>
          </w:tcPr>
          <w:p>
            <w:pPr>
              <w:ind w:left="820"/>
              <w:spacing w:after="0"/>
              <w:rPr>
                <w:sz w:val="20"/>
                <w:szCs w:val="20"/>
                <w:color w:val="auto"/>
              </w:rPr>
            </w:pPr>
            <w:r>
              <w:rPr>
                <w:rFonts w:ascii="Arial" w:cs="Arial" w:eastAsia="Arial" w:hAnsi="Arial"/>
                <w:sz w:val="18"/>
                <w:szCs w:val="18"/>
                <w:color w:val="auto"/>
              </w:rPr>
              <w:t>PS2; GameCube; GBA</w:t>
            </w:r>
          </w:p>
        </w:tc>
        <w:tc>
          <w:tcPr>
            <w:tcW w:w="3820" w:type="dxa"/>
            <w:vAlign w:val="bottom"/>
          </w:tcPr>
          <w:p>
            <w:pPr>
              <w:ind w:left="840"/>
              <w:spacing w:after="0"/>
              <w:rPr>
                <w:sz w:val="20"/>
                <w:szCs w:val="20"/>
                <w:color w:val="auto"/>
              </w:rPr>
            </w:pPr>
            <w:r>
              <w:rPr>
                <w:rFonts w:ascii="Arial" w:cs="Arial" w:eastAsia="Arial" w:hAnsi="Arial"/>
                <w:sz w:val="18"/>
                <w:szCs w:val="18"/>
                <w:color w:val="auto"/>
              </w:rPr>
              <w:t>April 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Destruction Derby Arenas</w:t>
            </w:r>
          </w:p>
        </w:tc>
        <w:tc>
          <w:tcPr>
            <w:tcW w:w="3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PS2</w:t>
            </w:r>
          </w:p>
        </w:tc>
        <w:tc>
          <w:tcPr>
            <w:tcW w:w="3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March 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Corvette</w:t>
            </w:r>
          </w:p>
        </w:tc>
        <w:tc>
          <w:tcPr>
            <w:tcW w:w="3280" w:type="dxa"/>
            <w:vAlign w:val="bottom"/>
          </w:tcPr>
          <w:p>
            <w:pPr>
              <w:ind w:left="820"/>
              <w:spacing w:after="0"/>
              <w:rPr>
                <w:sz w:val="20"/>
                <w:szCs w:val="20"/>
                <w:color w:val="auto"/>
              </w:rPr>
            </w:pPr>
            <w:r>
              <w:rPr>
                <w:rFonts w:ascii="Arial" w:cs="Arial" w:eastAsia="Arial" w:hAnsi="Arial"/>
                <w:sz w:val="18"/>
                <w:szCs w:val="18"/>
                <w:color w:val="auto"/>
              </w:rPr>
              <w:t>PS2</w:t>
            </w:r>
          </w:p>
        </w:tc>
        <w:tc>
          <w:tcPr>
            <w:tcW w:w="3820" w:type="dxa"/>
            <w:vAlign w:val="bottom"/>
          </w:tcPr>
          <w:p>
            <w:pPr>
              <w:ind w:left="840"/>
              <w:spacing w:after="0"/>
              <w:rPr>
                <w:sz w:val="20"/>
                <w:szCs w:val="20"/>
                <w:color w:val="auto"/>
              </w:rPr>
            </w:pPr>
            <w:r>
              <w:rPr>
                <w:rFonts w:ascii="Arial" w:cs="Arial" w:eastAsia="Arial" w:hAnsi="Arial"/>
                <w:sz w:val="18"/>
                <w:szCs w:val="18"/>
                <w:color w:val="auto"/>
              </w:rPr>
              <w:t>March 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3280" w:type="dxa"/>
            <w:vAlign w:val="bottom"/>
          </w:tcPr>
          <w:p>
            <w:pPr>
              <w:ind w:left="820"/>
              <w:spacing w:after="0"/>
              <w:rPr>
                <w:sz w:val="20"/>
                <w:szCs w:val="20"/>
                <w:color w:val="auto"/>
              </w:rPr>
            </w:pPr>
            <w:r>
              <w:rPr>
                <w:rFonts w:ascii="Arial" w:cs="Arial" w:eastAsia="Arial" w:hAnsi="Arial"/>
                <w:sz w:val="18"/>
                <w:szCs w:val="18"/>
                <w:color w:val="auto"/>
              </w:rPr>
              <w:t>Xbox</w:t>
            </w:r>
          </w:p>
        </w:tc>
        <w:tc>
          <w:tcPr>
            <w:tcW w:w="3820" w:type="dxa"/>
            <w:vAlign w:val="bottom"/>
          </w:tcPr>
          <w:p>
            <w:pPr>
              <w:ind w:left="840"/>
              <w:spacing w:after="0"/>
              <w:rPr>
                <w:sz w:val="20"/>
                <w:szCs w:val="20"/>
                <w:color w:val="auto"/>
              </w:rPr>
            </w:pPr>
            <w:r>
              <w:rPr>
                <w:rFonts w:ascii="Arial" w:cs="Arial" w:eastAsia="Arial" w:hAnsi="Arial"/>
                <w:sz w:val="18"/>
                <w:szCs w:val="18"/>
                <w:color w:val="auto"/>
              </w:rPr>
              <w:t>December 2003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Mafia</w:t>
            </w:r>
          </w:p>
        </w:tc>
        <w:tc>
          <w:tcPr>
            <w:tcW w:w="3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Xbox</w:t>
            </w:r>
          </w:p>
        </w:tc>
        <w:tc>
          <w:tcPr>
            <w:tcW w:w="3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March 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3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PS2</w:t>
            </w:r>
          </w:p>
        </w:tc>
        <w:tc>
          <w:tcPr>
            <w:tcW w:w="3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January 2004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Star Trek: Shattered Universe</w:t>
            </w:r>
          </w:p>
        </w:tc>
        <w:tc>
          <w:tcPr>
            <w:tcW w:w="3280" w:type="dxa"/>
            <w:vAlign w:val="bottom"/>
          </w:tcPr>
          <w:p>
            <w:pPr>
              <w:ind w:left="820"/>
              <w:spacing w:after="0"/>
              <w:rPr>
                <w:sz w:val="20"/>
                <w:szCs w:val="20"/>
                <w:color w:val="auto"/>
              </w:rPr>
            </w:pPr>
            <w:r>
              <w:rPr>
                <w:rFonts w:ascii="Arial" w:cs="Arial" w:eastAsia="Arial" w:hAnsi="Arial"/>
                <w:sz w:val="18"/>
                <w:szCs w:val="18"/>
                <w:color w:val="auto"/>
              </w:rPr>
              <w:t>PS2; Xbox</w:t>
            </w:r>
          </w:p>
        </w:tc>
        <w:tc>
          <w:tcPr>
            <w:tcW w:w="3820" w:type="dxa"/>
            <w:vAlign w:val="bottom"/>
          </w:tcPr>
          <w:p>
            <w:pPr>
              <w:ind w:left="840"/>
              <w:spacing w:after="0"/>
              <w:rPr>
                <w:sz w:val="20"/>
                <w:szCs w:val="20"/>
                <w:color w:val="auto"/>
              </w:rPr>
            </w:pPr>
            <w:r>
              <w:rPr>
                <w:rFonts w:ascii="Arial" w:cs="Arial" w:eastAsia="Arial" w:hAnsi="Arial"/>
                <w:sz w:val="18"/>
                <w:szCs w:val="18"/>
                <w:color w:val="auto"/>
              </w:rPr>
              <w:t>January 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Max Payne 2: The Fall of Max Payne</w:t>
            </w:r>
          </w:p>
        </w:tc>
        <w:tc>
          <w:tcPr>
            <w:tcW w:w="3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PS2</w:t>
            </w:r>
          </w:p>
        </w:tc>
        <w:tc>
          <w:tcPr>
            <w:tcW w:w="3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December 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3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Xbox</w:t>
            </w:r>
          </w:p>
        </w:tc>
        <w:tc>
          <w:tcPr>
            <w:tcW w:w="3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November 2003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Grand Theft Auto Double Pack</w:t>
            </w:r>
          </w:p>
        </w:tc>
        <w:tc>
          <w:tcPr>
            <w:tcW w:w="3280" w:type="dxa"/>
            <w:vAlign w:val="bottom"/>
          </w:tcPr>
          <w:p>
            <w:pPr>
              <w:ind w:left="820"/>
              <w:spacing w:after="0"/>
              <w:rPr>
                <w:sz w:val="20"/>
                <w:szCs w:val="20"/>
                <w:color w:val="auto"/>
              </w:rPr>
            </w:pPr>
            <w:r>
              <w:rPr>
                <w:rFonts w:ascii="Arial" w:cs="Arial" w:eastAsia="Arial" w:hAnsi="Arial"/>
                <w:sz w:val="18"/>
                <w:szCs w:val="18"/>
                <w:color w:val="auto"/>
              </w:rPr>
              <w:t>Xbox</w:t>
            </w:r>
          </w:p>
        </w:tc>
        <w:tc>
          <w:tcPr>
            <w:tcW w:w="3820" w:type="dxa"/>
            <w:vAlign w:val="bottom"/>
          </w:tcPr>
          <w:p>
            <w:pPr>
              <w:ind w:left="840"/>
              <w:spacing w:after="0"/>
              <w:rPr>
                <w:sz w:val="20"/>
                <w:szCs w:val="20"/>
                <w:color w:val="auto"/>
              </w:rPr>
            </w:pPr>
            <w:r>
              <w:rPr>
                <w:rFonts w:ascii="Arial" w:cs="Arial" w:eastAsia="Arial" w:hAnsi="Arial"/>
                <w:sz w:val="18"/>
                <w:szCs w:val="18"/>
                <w:color w:val="auto"/>
              </w:rPr>
              <w:t>November 2003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280" w:type="dxa"/>
            <w:vAlign w:val="bottom"/>
          </w:tcPr>
          <w:p>
            <w:pPr>
              <w:ind w:left="1360"/>
              <w:spacing w:after="0"/>
              <w:rPr>
                <w:sz w:val="20"/>
                <w:szCs w:val="20"/>
                <w:color w:val="auto"/>
              </w:rPr>
            </w:pPr>
            <w:r>
              <w:rPr>
                <w:rFonts w:ascii="Arial" w:cs="Arial" w:eastAsia="Arial" w:hAnsi="Arial"/>
                <w:sz w:val="18"/>
                <w:szCs w:val="18"/>
                <w:color w:val="auto"/>
              </w:rPr>
              <w:t>3</w:t>
            </w:r>
          </w:p>
        </w:tc>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Publishing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conduct publishing operations through our Rockstar and Globalstar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Rockstar Games</w:t>
      </w:r>
    </w:p>
    <w:p>
      <w:pPr>
        <w:spacing w:after="0" w:line="225"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 xml:space="preserve">Our Rockstar label continues to focus on the creation of premium priced, groundbreaking entertainment. We believe that Rockstar’s </w:t>
      </w:r>
      <w:r>
        <w:rPr>
          <w:rFonts w:ascii="Arial" w:cs="Arial" w:eastAsia="Arial" w:hAnsi="Arial"/>
          <w:sz w:val="15"/>
          <w:szCs w:val="15"/>
          <w:i w:val="1"/>
          <w:iCs w:val="1"/>
          <w:color w:val="auto"/>
        </w:rPr>
        <w:t>Grand Theft Auto</w:t>
      </w:r>
      <w:r>
        <w:rPr>
          <w:rFonts w:ascii="Arial" w:cs="Arial" w:eastAsia="Arial" w:hAnsi="Arial"/>
          <w:sz w:val="15"/>
          <w:szCs w:val="15"/>
          <w:color w:val="auto"/>
        </w:rPr>
        <w:t xml:space="preserve"> product franchise is a uniquely original popular culture phenomenon. Rockstar released </w:t>
      </w:r>
      <w:r>
        <w:rPr>
          <w:rFonts w:ascii="Arial" w:cs="Arial" w:eastAsia="Arial" w:hAnsi="Arial"/>
          <w:sz w:val="15"/>
          <w:szCs w:val="15"/>
          <w:i w:val="1"/>
          <w:iCs w:val="1"/>
          <w:color w:val="auto"/>
        </w:rPr>
        <w:t>Grand Theft Auto: San Andreas</w:t>
      </w:r>
      <w:r>
        <w:rPr>
          <w:rFonts w:ascii="Arial" w:cs="Arial" w:eastAsia="Arial" w:hAnsi="Arial"/>
          <w:sz w:val="15"/>
          <w:szCs w:val="15"/>
          <w:color w:val="auto"/>
        </w:rPr>
        <w:t xml:space="preserve"> for the PlayStation 2 in October 2004.</w:t>
      </w:r>
    </w:p>
    <w:p>
      <w:pPr>
        <w:spacing w:after="0" w:line="1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For fiscal 2005, Rockstar plans to release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 xml:space="preserve"> for the Xbox and PC, and anticipates that it will also ship this product for the PlayStation 2 in Japan under a license agreement. Rockstar also plans to release </w:t>
      </w:r>
      <w:r>
        <w:rPr>
          <w:rFonts w:ascii="Arial" w:cs="Arial" w:eastAsia="Arial" w:hAnsi="Arial"/>
          <w:sz w:val="16"/>
          <w:szCs w:val="16"/>
          <w:i w:val="1"/>
          <w:iCs w:val="1"/>
          <w:color w:val="auto"/>
        </w:rPr>
        <w:t>Midnight Club 3: DUB Edition</w:t>
      </w:r>
      <w:r>
        <w:rPr>
          <w:rFonts w:ascii="Arial" w:cs="Arial" w:eastAsia="Arial" w:hAnsi="Arial"/>
          <w:sz w:val="16"/>
          <w:szCs w:val="16"/>
          <w:color w:val="auto"/>
        </w:rPr>
        <w:t xml:space="preserve"> for the PlayStation 2 and Xbox, and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Warriors</w:t>
      </w:r>
      <w:r>
        <w:rPr>
          <w:rFonts w:ascii="Arial" w:cs="Arial" w:eastAsia="Arial" w:hAnsi="Arial"/>
          <w:sz w:val="16"/>
          <w:szCs w:val="16"/>
          <w:color w:val="auto"/>
        </w:rPr>
        <w:t>, a new title based on the Paramount Pictures film, for the PlayStation 2. Rockstar currently anticipates that it will release a new console title based on a</w:t>
      </w:r>
      <w:r>
        <w:rPr>
          <w:rFonts w:ascii="Arial" w:cs="Arial" w:eastAsia="Arial" w:hAnsi="Arial"/>
          <w:sz w:val="16"/>
          <w:szCs w:val="16"/>
          <w:i w:val="1"/>
          <w:iCs w:val="1"/>
          <w:color w:val="auto"/>
        </w:rPr>
        <w:t xml:space="preserve"> </w:t>
      </w:r>
      <w:r>
        <w:rPr>
          <w:rFonts w:ascii="Arial" w:cs="Arial" w:eastAsia="Arial" w:hAnsi="Arial"/>
          <w:sz w:val="16"/>
          <w:szCs w:val="16"/>
          <w:color w:val="auto"/>
        </w:rPr>
        <w:t>proven brand and titles based on two of Rockstar’s premier brands for Sony’s PSP platform.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Globalstar</w:t>
      </w:r>
    </w:p>
    <w:p>
      <w:pPr>
        <w:spacing w:after="0" w:line="225"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 xml:space="preserve">Globalstar is focusing on building brands for video game consoles, handheld platforms and the PC across popular genres, such as sports, action and strategy games. Globalstar recently launched four high quality sports titles at a value price of $19.99 under an agreement with SEGA. While we believe that this value pricing may have provided a catalyst for consumers to purchase these titles, the highly favorable game rankings of the titles developed by Visual Concepts and Kush is expected to help build long-term brand loyalty. We currently anticipate that we will ship </w:t>
      </w:r>
      <w:r>
        <w:rPr>
          <w:rFonts w:ascii="Arial" w:cs="Arial" w:eastAsia="Arial" w:hAnsi="Arial"/>
          <w:sz w:val="16"/>
          <w:szCs w:val="16"/>
          <w:i w:val="1"/>
          <w:iCs w:val="1"/>
          <w:color w:val="auto"/>
        </w:rPr>
        <w:t>ESPN MLB 2K5</w:t>
      </w:r>
      <w:r>
        <w:rPr>
          <w:rFonts w:ascii="Arial" w:cs="Arial" w:eastAsia="Arial" w:hAnsi="Arial"/>
          <w:sz w:val="16"/>
          <w:szCs w:val="16"/>
          <w:color w:val="auto"/>
        </w:rPr>
        <w:t xml:space="preserve"> (major league baseball) in fiscal 2005.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Globalstar is also concentrating on the growing market for video games incorporating popular licensed entertainment properties.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Co-publishing and Distribution Arrangement with SEGA</w:t>
      </w:r>
    </w:p>
    <w:p>
      <w:pPr>
        <w:spacing w:after="0" w:line="2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Effective May 2004, we entered into a three-year agreement with SEGA Corporation, whereby we co-publish and exclusively distribute SEGA’s sports titles. Under our current arrangement, we are entitled to receive all of the revenue and profit, if any, from the sale of the sports titles developed by Visual Concepts and Kush, and we are obligated to pay for development and marketing costs of the sports titles. The agreement may be terminated by us under certain circumstances, including as a result of SEGA’s failure to obtain licenses from the major sports leagues and players associations.</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an option agreement with SEGA, we have the right to purchase all of the outstanding capital stock of Visual Concepts and Kush. The option is exercisable until the earlier of (1) March 31, 2006 or (2) the termination of our distribution agreement with SEGA. We are currently negotiating the option price, and we are continuing to evaluate potential opportunities in the market for sports titles.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Content and Licensing</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We have established a portfolio of successful proprietary software content. We own all of the intellectual property rights associated with the following brands: </w:t>
      </w:r>
      <w:r>
        <w:rPr>
          <w:rFonts w:ascii="Arial" w:cs="Arial" w:eastAsia="Arial" w:hAnsi="Arial"/>
          <w:sz w:val="16"/>
          <w:szCs w:val="16"/>
          <w:i w:val="1"/>
          <w:iCs w:val="1"/>
          <w:color w:val="auto"/>
        </w:rPr>
        <w:t xml:space="preserve">Grand Theft Auto; Max Payne; Midnight Club; Manhunt; Red Dead Revolver; Smuggler’s Run; Oni; Myth; Spec Ops; Railroad Tycoon; Tropico; Army Men; </w:t>
      </w:r>
      <w:r>
        <w:rPr>
          <w:rFonts w:ascii="Arial" w:cs="Arial" w:eastAsia="Arial" w:hAnsi="Arial"/>
          <w:sz w:val="16"/>
          <w:szCs w:val="16"/>
          <w:color w:val="auto"/>
        </w:rPr>
        <w:t>and</w:t>
      </w:r>
      <w:r>
        <w:rPr>
          <w:rFonts w:ascii="Arial" w:cs="Arial" w:eastAsia="Arial" w:hAnsi="Arial"/>
          <w:sz w:val="16"/>
          <w:szCs w:val="16"/>
          <w:i w:val="1"/>
          <w:iCs w:val="1"/>
          <w:color w:val="auto"/>
        </w:rPr>
        <w:t xml:space="preserve"> School Tycoon</w:t>
      </w:r>
      <w:r>
        <w:rPr>
          <w:rFonts w:ascii="Arial" w:cs="Arial" w:eastAsia="Arial" w:hAnsi="Arial"/>
          <w:sz w:val="16"/>
          <w:szCs w:val="16"/>
          <w:color w:val="auto"/>
        </w:rPr>
        <w:t>. We believe that content ownership facilitates our internal product development efforts and maximizes profit potential.</w:t>
      </w:r>
    </w:p>
    <w:p>
      <w:pPr>
        <w:spacing w:after="0" w:line="161" w:lineRule="exact"/>
        <w:rPr>
          <w:sz w:val="20"/>
          <w:szCs w:val="20"/>
          <w:color w:val="auto"/>
        </w:rPr>
      </w:pPr>
    </w:p>
    <w:p>
      <w:pPr>
        <w:jc w:val="both"/>
        <w:ind w:right="120"/>
        <w:spacing w:after="0" w:line="335" w:lineRule="auto"/>
        <w:rPr>
          <w:sz w:val="20"/>
          <w:szCs w:val="20"/>
          <w:color w:val="auto"/>
        </w:rPr>
      </w:pPr>
      <w:r>
        <w:rPr>
          <w:rFonts w:ascii="Arial" w:cs="Arial" w:eastAsia="Arial" w:hAnsi="Arial"/>
          <w:sz w:val="15"/>
          <w:szCs w:val="15"/>
          <w:color w:val="auto"/>
        </w:rPr>
        <w:t xml:space="preserve">In August 2003, we acquired all of the intellectual properties associated with </w:t>
      </w:r>
      <w:r>
        <w:rPr>
          <w:rFonts w:ascii="Arial" w:cs="Arial" w:eastAsia="Arial" w:hAnsi="Arial"/>
          <w:sz w:val="15"/>
          <w:szCs w:val="15"/>
          <w:i w:val="1"/>
          <w:iCs w:val="1"/>
          <w:color w:val="auto"/>
        </w:rPr>
        <w:t>Red Dead Revolver</w:t>
      </w:r>
      <w:r>
        <w:rPr>
          <w:rFonts w:ascii="Arial" w:cs="Arial" w:eastAsia="Arial" w:hAnsi="Arial"/>
          <w:sz w:val="15"/>
          <w:szCs w:val="15"/>
          <w:color w:val="auto"/>
        </w:rPr>
        <w:t xml:space="preserve"> (subject to a distribution license in Asia) in consideration of a royalty on future product sales and, in September 2003, we acquired all the ownership rights associated with the </w:t>
      </w:r>
      <w:r>
        <w:rPr>
          <w:rFonts w:ascii="Arial" w:cs="Arial" w:eastAsia="Arial" w:hAnsi="Arial"/>
          <w:sz w:val="15"/>
          <w:szCs w:val="15"/>
          <w:i w:val="1"/>
          <w:iCs w:val="1"/>
          <w:color w:val="auto"/>
        </w:rPr>
        <w:t>Army Men</w:t>
      </w:r>
      <w:r>
        <w:rPr>
          <w:rFonts w:ascii="Arial" w:cs="Arial" w:eastAsia="Arial" w:hAnsi="Arial"/>
          <w:sz w:val="15"/>
          <w:szCs w:val="15"/>
          <w:color w:val="auto"/>
        </w:rPr>
        <w:t xml:space="preserve"> brand. In May 2002, we acquired all of the intellectual properties associated with the game </w:t>
      </w:r>
      <w:r>
        <w:rPr>
          <w:rFonts w:ascii="Arial" w:cs="Arial" w:eastAsia="Arial" w:hAnsi="Arial"/>
          <w:sz w:val="15"/>
          <w:szCs w:val="15"/>
          <w:i w:val="1"/>
          <w:iCs w:val="1"/>
          <w:color w:val="auto"/>
        </w:rPr>
        <w:t>Max Payne</w:t>
      </w:r>
      <w:r>
        <w:rPr>
          <w:rFonts w:ascii="Arial" w:cs="Arial" w:eastAsia="Arial" w:hAnsi="Arial"/>
          <w:sz w:val="15"/>
          <w:szCs w:val="15"/>
          <w:color w:val="auto"/>
        </w:rPr>
        <w:t xml:space="preserve">, as well as a royalty-free perpetual license to use the </w:t>
      </w:r>
      <w:r>
        <w:rPr>
          <w:rFonts w:ascii="Arial" w:cs="Arial" w:eastAsia="Arial" w:hAnsi="Arial"/>
          <w:sz w:val="15"/>
          <w:szCs w:val="15"/>
          <w:i w:val="1"/>
          <w:iCs w:val="1"/>
          <w:color w:val="auto"/>
        </w:rPr>
        <w:t>Max Payne</w:t>
      </w:r>
      <w:r>
        <w:rPr>
          <w:rFonts w:ascii="Arial" w:cs="Arial" w:eastAsia="Arial" w:hAnsi="Arial"/>
          <w:sz w:val="15"/>
          <w:szCs w:val="15"/>
          <w:color w:val="auto"/>
        </w:rPr>
        <w:t xml:space="preserve"> game engine technologies.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also actively seek to acquire licenses for well-recognized properties. We acquired the exclusive worldwide rights to create video games based on the theatrical motion picture entitled “The Warriors.” During fiscal 2004, we acquired exclusive rights to certain properties owned by the Cartoon Network, as well as exclusive rights to, among other things, certain properties associated with Charlie and The Chocolate Factory. We expect to continue to actively pursue selective acquisitions of property rights that we believe will enhance our prospects.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w:t>
      </w:r>
    </w:p>
    <w:p>
      <w:pPr>
        <w:spacing w:after="0" w:line="2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We develop most of our frontline software titles for our Rockstar label through our internal development studios: Rockstar San Diego, the developer of </w:t>
      </w:r>
      <w:r>
        <w:rPr>
          <w:rFonts w:ascii="Arial" w:cs="Arial" w:eastAsia="Arial" w:hAnsi="Arial"/>
          <w:sz w:val="18"/>
          <w:szCs w:val="18"/>
          <w:i w:val="1"/>
          <w:iCs w:val="1"/>
          <w:color w:val="auto"/>
        </w:rPr>
        <w:t>Midnight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Club </w:t>
      </w:r>
      <w:r>
        <w:rPr>
          <w:rFonts w:ascii="Arial" w:cs="Arial" w:eastAsia="Arial" w:hAnsi="Arial"/>
          <w:sz w:val="18"/>
          <w:szCs w:val="18"/>
          <w:color w:val="auto"/>
        </w:rPr>
        <w:t>and</w:t>
      </w:r>
      <w:r>
        <w:rPr>
          <w:rFonts w:ascii="Arial" w:cs="Arial" w:eastAsia="Arial" w:hAnsi="Arial"/>
          <w:sz w:val="18"/>
          <w:szCs w:val="18"/>
          <w:i w:val="1"/>
          <w:iCs w:val="1"/>
          <w:color w:val="auto"/>
        </w:rPr>
        <w:t xml:space="preserve"> Smuggler’s Run</w:t>
      </w:r>
      <w:r>
        <w:rPr>
          <w:rFonts w:ascii="Arial" w:cs="Arial" w:eastAsia="Arial" w:hAnsi="Arial"/>
          <w:sz w:val="18"/>
          <w:szCs w:val="18"/>
          <w:color w:val="auto"/>
        </w:rPr>
        <w:t>; Rockstar North, the developer of the</w:t>
      </w:r>
      <w:r>
        <w:rPr>
          <w:rFonts w:ascii="Arial" w:cs="Arial" w:eastAsia="Arial" w:hAnsi="Arial"/>
          <w:sz w:val="18"/>
          <w:szCs w:val="18"/>
          <w:i w:val="1"/>
          <w:iCs w:val="1"/>
          <w:color w:val="auto"/>
        </w:rPr>
        <w:t xml:space="preserve"> Grand Theft Auto and Manhunt </w:t>
      </w:r>
      <w:r>
        <w:rPr>
          <w:rFonts w:ascii="Arial" w:cs="Arial" w:eastAsia="Arial" w:hAnsi="Arial"/>
          <w:sz w:val="18"/>
          <w:szCs w:val="18"/>
          <w:color w:val="auto"/>
        </w:rPr>
        <w:t>series; Rockstar Toronto, the developer of the PlayStation 2</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versions of </w:t>
      </w:r>
      <w:r>
        <w:rPr>
          <w:rFonts w:ascii="Arial" w:cs="Arial" w:eastAsia="Arial" w:hAnsi="Arial"/>
          <w:sz w:val="18"/>
          <w:szCs w:val="18"/>
          <w:i w:val="1"/>
          <w:iCs w:val="1"/>
          <w:color w:val="auto"/>
        </w:rPr>
        <w:t>Max Payne</w:t>
      </w:r>
      <w:r>
        <w:rPr>
          <w:rFonts w:ascii="Arial" w:cs="Arial" w:eastAsia="Arial" w:hAnsi="Arial"/>
          <w:sz w:val="18"/>
          <w:szCs w:val="18"/>
          <w:color w:val="auto"/>
        </w:rPr>
        <w:t xml:space="preserve"> and </w:t>
      </w:r>
      <w:r>
        <w:rPr>
          <w:rFonts w:ascii="Arial" w:cs="Arial" w:eastAsia="Arial" w:hAnsi="Arial"/>
          <w:sz w:val="18"/>
          <w:szCs w:val="18"/>
          <w:i w:val="1"/>
          <w:iCs w:val="1"/>
          <w:color w:val="auto"/>
        </w:rPr>
        <w:t>Max Payne 2: The Fall of Max Payne</w:t>
      </w:r>
      <w:r>
        <w:rPr>
          <w:rFonts w:ascii="Arial" w:cs="Arial" w:eastAsia="Arial" w:hAnsi="Arial"/>
          <w:sz w:val="18"/>
          <w:szCs w:val="18"/>
          <w:color w:val="auto"/>
        </w:rPr>
        <w:t xml:space="preserve">; Rockstar Vancouver; and Rockstar Vienna, the developer of the Xbox versions of </w:t>
      </w:r>
      <w:r>
        <w:rPr>
          <w:rFonts w:ascii="Arial" w:cs="Arial" w:eastAsia="Arial" w:hAnsi="Arial"/>
          <w:sz w:val="18"/>
          <w:szCs w:val="18"/>
          <w:i w:val="1"/>
          <w:iCs w:val="1"/>
          <w:color w:val="auto"/>
        </w:rPr>
        <w:t>Max Payne</w:t>
      </w:r>
      <w:r>
        <w:rPr>
          <w:rFonts w:ascii="Arial" w:cs="Arial" w:eastAsia="Arial" w:hAnsi="Arial"/>
          <w:sz w:val="18"/>
          <w:szCs w:val="18"/>
          <w:color w:val="auto"/>
        </w:rPr>
        <w:t xml:space="preserve"> and </w:t>
      </w:r>
      <w:r>
        <w:rPr>
          <w:rFonts w:ascii="Arial" w:cs="Arial" w:eastAsia="Arial" w:hAnsi="Arial"/>
          <w:sz w:val="18"/>
          <w:szCs w:val="18"/>
          <w:i w:val="1"/>
          <w:iCs w:val="1"/>
          <w:color w:val="auto"/>
        </w:rPr>
        <w:t>Max Payne 2: The Fall of Max Payne</w:t>
      </w:r>
      <w:r>
        <w:rPr>
          <w:rFonts w:ascii="Arial" w:cs="Arial" w:eastAsia="Arial" w:hAnsi="Arial"/>
          <w:sz w:val="18"/>
          <w:szCs w:val="18"/>
          <w:color w:val="auto"/>
        </w:rPr>
        <w:t>.</w:t>
      </w:r>
    </w:p>
    <w:p>
      <w:pPr>
        <w:spacing w:after="0" w:line="197"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In March 2004, we acquired Mobius (Rockstar Leeds), a UK-based studio that specializes in developing titles for handheld platforms such as Sony’s PSP. It is currently anticipated that Rockstar Leeds will develop Rockstar titles for the PSP based on two of Rockstar’s premier brands.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also develop products for the PC through our internal development studios: PopTop Software, the developer of the </w:t>
      </w:r>
      <w:r>
        <w:rPr>
          <w:rFonts w:ascii="Arial" w:cs="Arial" w:eastAsia="Arial" w:hAnsi="Arial"/>
          <w:sz w:val="16"/>
          <w:szCs w:val="16"/>
          <w:i w:val="1"/>
          <w:iCs w:val="1"/>
          <w:color w:val="auto"/>
        </w:rPr>
        <w:t>Railroad</w:t>
      </w:r>
      <w:r>
        <w:rPr>
          <w:rFonts w:ascii="Arial" w:cs="Arial" w:eastAsia="Arial" w:hAnsi="Arial"/>
          <w:sz w:val="16"/>
          <w:szCs w:val="16"/>
          <w:color w:val="auto"/>
        </w:rPr>
        <w:t xml:space="preserve"> T</w:t>
      </w:r>
      <w:r>
        <w:rPr>
          <w:rFonts w:ascii="Arial" w:cs="Arial" w:eastAsia="Arial" w:hAnsi="Arial"/>
          <w:sz w:val="16"/>
          <w:szCs w:val="16"/>
          <w:i w:val="1"/>
          <w:iCs w:val="1"/>
          <w:color w:val="auto"/>
        </w:rPr>
        <w:t>ycoon</w:t>
      </w:r>
      <w:r>
        <w:rPr>
          <w:rFonts w:ascii="Arial" w:cs="Arial" w:eastAsia="Arial" w:hAnsi="Arial"/>
          <w:sz w:val="16"/>
          <w:szCs w:val="16"/>
          <w:color w:val="auto"/>
        </w:rPr>
        <w:t xml:space="preserve"> series and </w:t>
      </w:r>
      <w:r>
        <w:rPr>
          <w:rFonts w:ascii="Arial" w:cs="Arial" w:eastAsia="Arial" w:hAnsi="Arial"/>
          <w:sz w:val="16"/>
          <w:szCs w:val="16"/>
          <w:i w:val="1"/>
          <w:iCs w:val="1"/>
          <w:color w:val="auto"/>
        </w:rPr>
        <w:t>Tropico 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Frog City, the developer of </w:t>
      </w:r>
      <w:r>
        <w:rPr>
          <w:rFonts w:ascii="Arial" w:cs="Arial" w:eastAsia="Arial" w:hAnsi="Arial"/>
          <w:sz w:val="18"/>
          <w:szCs w:val="18"/>
          <w:i w:val="1"/>
          <w:iCs w:val="1"/>
          <w:color w:val="auto"/>
        </w:rPr>
        <w:t>Tropico: Pirate Cove</w:t>
      </w:r>
      <w:r>
        <w:rPr>
          <w:rFonts w:ascii="Arial" w:cs="Arial" w:eastAsia="Arial" w:hAnsi="Arial"/>
          <w:sz w:val="18"/>
          <w:szCs w:val="18"/>
          <w:color w:val="auto"/>
        </w:rPr>
        <w:t>; and Cat Daddy Games.</w:t>
      </w:r>
    </w:p>
    <w:p>
      <w:pPr>
        <w:spacing w:after="0" w:line="219"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 xml:space="preserve">We recently acquired Venom, a UK-based studio and the developer of the successful boxing game </w:t>
      </w:r>
      <w:r>
        <w:rPr>
          <w:rFonts w:ascii="Arial" w:cs="Arial" w:eastAsia="Arial" w:hAnsi="Arial"/>
          <w:sz w:val="16"/>
          <w:szCs w:val="16"/>
          <w:i w:val="1"/>
          <w:iCs w:val="1"/>
          <w:color w:val="auto"/>
        </w:rPr>
        <w:t>Rocky</w:t>
      </w:r>
      <w:r>
        <w:rPr>
          <w:rFonts w:ascii="Arial" w:cs="Arial" w:eastAsia="Arial" w:hAnsi="Arial"/>
          <w:sz w:val="16"/>
          <w:szCs w:val="16"/>
          <w:color w:val="auto"/>
        </w:rPr>
        <w:t xml:space="preserve">. We also recently acquired Indie, best known for developing </w:t>
      </w:r>
      <w:r>
        <w:rPr>
          <w:rFonts w:ascii="Arial" w:cs="Arial" w:eastAsia="Arial" w:hAnsi="Arial"/>
          <w:sz w:val="16"/>
          <w:szCs w:val="16"/>
          <w:i w:val="1"/>
          <w:iCs w:val="1"/>
          <w:color w:val="auto"/>
        </w:rPr>
        <w:t>Top Spin,</w:t>
      </w:r>
      <w:r>
        <w:rPr>
          <w:rFonts w:ascii="Arial" w:cs="Arial" w:eastAsia="Arial" w:hAnsi="Arial"/>
          <w:sz w:val="16"/>
          <w:szCs w:val="16"/>
          <w:color w:val="auto"/>
        </w:rPr>
        <w:t xml:space="preserve"> the award-winning tennis game, </w:t>
      </w:r>
      <w:r>
        <w:rPr>
          <w:rFonts w:ascii="Arial" w:cs="Arial" w:eastAsia="Arial" w:hAnsi="Arial"/>
          <w:sz w:val="16"/>
          <w:szCs w:val="16"/>
          <w:i w:val="1"/>
          <w:iCs w:val="1"/>
          <w:color w:val="auto"/>
        </w:rPr>
        <w:t>Amped</w:t>
      </w:r>
      <w:r>
        <w:rPr>
          <w:rFonts w:ascii="Arial" w:cs="Arial" w:eastAsia="Arial" w:hAnsi="Arial"/>
          <w:sz w:val="16"/>
          <w:szCs w:val="16"/>
          <w:color w:val="auto"/>
        </w:rPr>
        <w:t xml:space="preserve"> and </w:t>
      </w:r>
      <w:r>
        <w:rPr>
          <w:rFonts w:ascii="Arial" w:cs="Arial" w:eastAsia="Arial" w:hAnsi="Arial"/>
          <w:sz w:val="16"/>
          <w:szCs w:val="16"/>
          <w:i w:val="1"/>
          <w:iCs w:val="1"/>
          <w:color w:val="auto"/>
        </w:rPr>
        <w:t>Amped 2</w:t>
      </w:r>
      <w:r>
        <w:rPr>
          <w:rFonts w:ascii="Arial" w:cs="Arial" w:eastAsia="Arial" w:hAnsi="Arial"/>
          <w:sz w:val="16"/>
          <w:szCs w:val="16"/>
          <w:color w:val="auto"/>
        </w:rPr>
        <w:t xml:space="preserve">, snowboarding games, and </w:t>
      </w:r>
      <w:r>
        <w:rPr>
          <w:rFonts w:ascii="Arial" w:cs="Arial" w:eastAsia="Arial" w:hAnsi="Arial"/>
          <w:sz w:val="16"/>
          <w:szCs w:val="16"/>
          <w:i w:val="1"/>
          <w:iCs w:val="1"/>
          <w:color w:val="auto"/>
        </w:rPr>
        <w:t>Links</w:t>
      </w:r>
      <w:r>
        <w:rPr>
          <w:rFonts w:ascii="Arial" w:cs="Arial" w:eastAsia="Arial" w:hAnsi="Arial"/>
          <w:sz w:val="16"/>
          <w:szCs w:val="16"/>
          <w:color w:val="auto"/>
        </w:rPr>
        <w:t>, a golf game.</w:t>
      </w:r>
    </w:p>
    <w:p>
      <w:pPr>
        <w:spacing w:after="0" w:line="13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October 31, 2004, our internal development studios and product development department had 755 employees with the technical capabilities to develop and localize (translate into foreign languages and make other changes appropriate to the territory) software titles for all major hardware platforms and the PC in all major territories.</w:t>
      </w:r>
    </w:p>
    <w:p>
      <w:pPr>
        <w:spacing w:after="0" w:line="194" w:lineRule="exact"/>
        <w:rPr>
          <w:sz w:val="20"/>
          <w:szCs w:val="20"/>
          <w:color w:val="auto"/>
        </w:rPr>
      </w:pPr>
    </w:p>
    <w:p>
      <w:pPr>
        <w:ind w:right="820"/>
        <w:spacing w:after="0" w:line="332" w:lineRule="auto"/>
        <w:rPr>
          <w:sz w:val="20"/>
          <w:szCs w:val="20"/>
          <w:color w:val="auto"/>
        </w:rPr>
      </w:pPr>
      <w:r>
        <w:rPr>
          <w:rFonts w:ascii="Arial" w:cs="Arial" w:eastAsia="Arial" w:hAnsi="Arial"/>
          <w:sz w:val="16"/>
          <w:szCs w:val="16"/>
          <w:color w:val="auto"/>
        </w:rPr>
        <w:t>For fiscal 2004, 2003 and 2002, research and development expenses relating to our software titles were $43.3 million, $25.1 million and $11.5 million, respectively. Additionally, for these years, we capitalized software development costs of $26.0 million, $15.9 million and $9.6 million, respectively.</w:t>
      </w:r>
    </w:p>
    <w:p>
      <w:pPr>
        <w:spacing w:after="0" w:line="139"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Certain of our titles are developed by third parties. Agreements with developers generally give us exclusive publishing and marketing rights and require us to make advance royalty payments, pay royalties based on product sales and satisfy other conditions. Royalty advances for software titles are recoupable against royalties otherwise due to developers.</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agreements with developers generally provide us with the right to monitor development efforts and to cease making advance payments if specified development milestones are not satisfied. We monitor the level of advances in light of expected sales for the related titles and write off unrecoverable advances to cost of sales in the period in which we determine the advance will not be fully recouped.</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development cycle for new console, handheld and PC titles ranges from twelve to twenty-four months. After initial development of a product, it may take between nine to twelve months to develop the product for other hardware platforms. The cost to develop a frontline product generally ranges from $3 million to $10 million. We expect that development costs will increase for next-generation platforms.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Platform Manufacturers</w:t>
      </w:r>
    </w:p>
    <w:p>
      <w:pPr>
        <w:spacing w:after="0" w:line="23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We have entered into license agreements with Sony, Microsoft and Nintendo to develop and publish software in North America and Europe for the PlayStation, PlayStation 2, PSP, Xbox, Game Boy Advance and GameCube. We are not required to obtain any licenses to develop titles for the PC.</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Sony. </w:t>
      </w:r>
      <w:r>
        <w:rPr>
          <w:rFonts w:ascii="Arial" w:cs="Arial" w:eastAsia="Arial" w:hAnsi="Arial"/>
          <w:sz w:val="18"/>
          <w:szCs w:val="18"/>
          <w:color w:val="auto"/>
        </w:rPr>
        <w:t>We entered into a Licensed Publisher Agreement with Sony Computer Entertainment America, Inc. in May 2000. Under the agreement, Sony granted us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and license to develop, market, publish and distribute software titles for the PlayStation 2 in North America. The agreement requires us to submit products to Sony for its approval. The agreement provides for Sony to be the exclusive manufacturer of our products for the PlayStation 2 and for us to pay royalties to Sony based on the number of units manufactured.</w:t>
      </w:r>
    </w:p>
    <w:p>
      <w:pPr>
        <w:spacing w:after="0" w:line="19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agreement with Sony is automatically renewable for successive one-year terms, unless terminated by Sony in the event of a breach by us or our bankruptcy or insolvency. Sony may also terminate the agreement on a title-by-title basis. Upon expiration or termination of this agreement, we have certain rights to sell off existing inventories. We also entered into a similar agreement with Sony for PlayStation 2 covering European territories and Australia.</w:t>
      </w:r>
    </w:p>
    <w:p>
      <w:pPr>
        <w:spacing w:after="0" w:line="161"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In September 2004, we entered into a three-year agreement with Sony pursuant to which Sony granted us the right and license to develop, market, publish and distribute software titles for the PSP in North America. We entered into a four-year Licensed Publisher Agreement with Sony in April 2004 under which Sony granted us the right and license to develop, market, publish and distribute software titles for the PlayStation in North America. We also entered into a similar agreement with Sony for PlayStation covering European territories and Australia.</w:t>
      </w:r>
    </w:p>
    <w:p>
      <w:pPr>
        <w:spacing w:after="0" w:line="16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Microsoft</w:t>
      </w:r>
      <w:r>
        <w:rPr>
          <w:rFonts w:ascii="Arial" w:cs="Arial" w:eastAsia="Arial" w:hAnsi="Arial"/>
          <w:sz w:val="18"/>
          <w:szCs w:val="18"/>
          <w:color w:val="auto"/>
        </w:rPr>
        <w:t>. We entered into a Publisher License Agreement with Microsoft in December 2000. Under the agreement, Microsoft granted us the right and license to</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market, publish and distribute software titles for Microsoft’s Xbox in territories to be determined on a title-by-title basis. The agreement requires us to submit products to Microsoft for its approval and for us to make royalty payments to Microsoft based on the number of units manufactured. Products for the Xbox must be manufactured by pre-approved manufacturers. The agreement may be terminated by either party in the event of a material breach and expires in March 2005. Microsoft also has the right to terminate on a title-by-title basis. Upon expiration or termination of the agreement, we have certain rights to sell off existing inventories.</w:t>
      </w:r>
    </w:p>
    <w:p>
      <w:pPr>
        <w:spacing w:after="0" w:line="19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i w:val="1"/>
          <w:iCs w:val="1"/>
          <w:color w:val="auto"/>
        </w:rPr>
        <w:t>Nintendo</w:t>
      </w:r>
      <w:r>
        <w:rPr>
          <w:rFonts w:ascii="Arial" w:cs="Arial" w:eastAsia="Arial" w:hAnsi="Arial"/>
          <w:sz w:val="16"/>
          <w:szCs w:val="16"/>
          <w:color w:val="auto"/>
        </w:rPr>
        <w:t>. We entered into a Confidential License Agreement with Nintendo that expires in December 2007. Under the agreement, Nintendo granted us the right</w:t>
      </w:r>
      <w:r>
        <w:rPr>
          <w:rFonts w:ascii="Arial" w:cs="Arial" w:eastAsia="Arial" w:hAnsi="Arial"/>
          <w:sz w:val="16"/>
          <w:szCs w:val="16"/>
          <w:i w:val="1"/>
          <w:iCs w:val="1"/>
          <w:color w:val="auto"/>
        </w:rPr>
        <w:t xml:space="preserve"> </w:t>
      </w:r>
      <w:r>
        <w:rPr>
          <w:rFonts w:ascii="Arial" w:cs="Arial" w:eastAsia="Arial" w:hAnsi="Arial"/>
          <w:sz w:val="16"/>
          <w:szCs w:val="16"/>
          <w:color w:val="auto"/>
        </w:rPr>
        <w:t>and license to develop, market, publish and distribute software for Nintendo’s GameCube in the western hemisphere. The agreement requires us to submit products to Nintendo for its approval. The agreement also provides for Nintendo to be the exclusive manufacturer of our products and for us to make royalty payments to Nintendo based on the number of units manufactured. The agreement may be terminated by either party in the event of a breach and may be terminated by Nintendo in the event of our bankruptcy. Upon termination of all of our agreements with Nintendo, we have certain rights to sell off existing inventories. We also entered into a similar three-year agreement with Nintendo for GameCube covering European territories.</w:t>
      </w:r>
    </w:p>
    <w:p>
      <w:pPr>
        <w:spacing w:after="0" w:line="17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We also entered into an agreement with Nintendo that expires in July 2007, granting us the right and license to develop software for Nintendo’s Game Boy Advance in the western hemisphere. We entered into a similar agreement with Nintendo for European territories.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sell software titles to retail outlets in North America and Europe through direct relationships with large retail customers and third-party distributors. Our customers in North America include Best Buy, Blockbuster, Circuit City, Electronics Boutique, GameStop, Target, Toys “R” Us, Wal-Mart and other leading mass merchandisers; video, electronic and toy stores; national and regional drug stores; supermarket and discount store chains; and specialty retailers. Our European customers include Carrefour, Dixons, Game Group (formerly Electronics Boutique), Karstadt, and Media Saturn. We have sales and marketing operations in Australia, Austria, Canada, France, Germany, Holland, Italy, New Zealand, Spain and the United Kingdom.</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fiscal 2004, sales to our five largest customers accounted for approximately 38.9% of our revenues, with Wal-Mart accounting for 10.4% of our revenues. No other customer accounted for more than 10% of our revenues for this year.</w:t>
      </w:r>
    </w:p>
    <w:p>
      <w:pPr>
        <w:spacing w:after="0" w:line="18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marketing and promotional efforts are intended to maximize exposure and broaden distribution of our titles, promote brand name recognition, assist retailers and properly position, package and merchandise our titles. We market titles by implementing public relations campaigns, using print and on-line advertising, television, radio spots and outdoor advertising. For fiscal 2004, we incurred selling and marketing costs of $117.6 million. We label and market our products in strict accordance with Entertainment Software Rating Board (ESRB) principles and guidelines.</w:t>
      </w:r>
    </w:p>
    <w:p>
      <w:pPr>
        <w:spacing w:after="0" w:line="16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Our Rockstar Games subsidiary actively pursues relationships with participants in the music and entertainment industries. We believe that the shared demographics between various media and some of the software titles marketed by Rockstar Games provide excellent cross-promotional opportunities. We have been working with popular recording artists to create sophisticated game soundtracks, have entered into agreements to license high-profile names and likenesses, and have arrangements for co-branding opportunities. Rockstar, in collaboration with Interscope Records, an affiliate of Universal Music Group, also released an eight-CD box set soundtrack to </w:t>
      </w:r>
      <w:r>
        <w:rPr>
          <w:rFonts w:ascii="Arial" w:cs="Arial" w:eastAsia="Arial" w:hAnsi="Arial"/>
          <w:sz w:val="18"/>
          <w:szCs w:val="18"/>
          <w:i w:val="1"/>
          <w:iCs w:val="1"/>
          <w:color w:val="auto"/>
        </w:rPr>
        <w:t>Grand Theft Auto: San Andreas</w:t>
      </w:r>
      <w:r>
        <w:rPr>
          <w:rFonts w:ascii="Arial" w:cs="Arial" w:eastAsia="Arial" w:hAnsi="Arial"/>
          <w:sz w:val="18"/>
          <w:szCs w:val="18"/>
          <w:color w:val="auto"/>
        </w:rPr>
        <w:t xml:space="preserve"> with more than 80 tracks, including in-game radio stations featuring a mix of rap, rock, country and R&amp;B.</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date, </w:t>
      </w:r>
      <w:r>
        <w:rPr>
          <w:rFonts w:ascii="Arial" w:cs="Arial" w:eastAsia="Arial" w:hAnsi="Arial"/>
          <w:sz w:val="16"/>
          <w:szCs w:val="16"/>
          <w:i w:val="1"/>
          <w:iCs w:val="1"/>
          <w:color w:val="auto"/>
        </w:rPr>
        <w:t>Max Payne</w:t>
      </w:r>
      <w:r>
        <w:rPr>
          <w:rFonts w:ascii="Arial" w:cs="Arial" w:eastAsia="Arial" w:hAnsi="Arial"/>
          <w:sz w:val="16"/>
          <w:szCs w:val="16"/>
          <w:color w:val="auto"/>
        </w:rPr>
        <w:t xml:space="preserve">, </w:t>
      </w:r>
      <w:r>
        <w:rPr>
          <w:rFonts w:ascii="Arial" w:cs="Arial" w:eastAsia="Arial" w:hAnsi="Arial"/>
          <w:sz w:val="16"/>
          <w:szCs w:val="16"/>
          <w:i w:val="1"/>
          <w:iCs w:val="1"/>
          <w:color w:val="auto"/>
        </w:rPr>
        <w:t>Midnight Club</w:t>
      </w:r>
      <w:r>
        <w:rPr>
          <w:rFonts w:ascii="Arial" w:cs="Arial" w:eastAsia="Arial" w:hAnsi="Arial"/>
          <w:sz w:val="16"/>
          <w:szCs w:val="16"/>
          <w:color w:val="auto"/>
        </w:rPr>
        <w:t xml:space="preserve">, </w:t>
      </w:r>
      <w:r>
        <w:rPr>
          <w:rFonts w:ascii="Arial" w:cs="Arial" w:eastAsia="Arial" w:hAnsi="Arial"/>
          <w:sz w:val="16"/>
          <w:szCs w:val="16"/>
          <w:i w:val="1"/>
          <w:iCs w:val="1"/>
          <w:color w:val="auto"/>
        </w:rPr>
        <w:t>Midnight Club 2, Conflict: Desert Storm</w:t>
      </w:r>
      <w:r>
        <w:rPr>
          <w:rFonts w:ascii="Arial" w:cs="Arial" w:eastAsia="Arial" w:hAnsi="Arial"/>
          <w:sz w:val="16"/>
          <w:szCs w:val="16"/>
          <w:color w:val="auto"/>
        </w:rPr>
        <w:t xml:space="preserve">, </w:t>
      </w:r>
      <w:r>
        <w:rPr>
          <w:rFonts w:ascii="Arial" w:cs="Arial" w:eastAsia="Arial" w:hAnsi="Arial"/>
          <w:sz w:val="16"/>
          <w:szCs w:val="16"/>
          <w:i w:val="1"/>
          <w:iCs w:val="1"/>
          <w:color w:val="auto"/>
        </w:rPr>
        <w:t>Smuggler’s Run</w:t>
      </w:r>
      <w:r>
        <w:rPr>
          <w:rFonts w:ascii="Arial" w:cs="Arial" w:eastAsia="Arial" w:hAnsi="Arial"/>
          <w:sz w:val="16"/>
          <w:szCs w:val="16"/>
          <w:color w:val="auto"/>
        </w:rPr>
        <w:t xml:space="preserve">, </w:t>
      </w:r>
      <w:r>
        <w:rPr>
          <w:rFonts w:ascii="Arial" w:cs="Arial" w:eastAsia="Arial" w:hAnsi="Arial"/>
          <w:sz w:val="16"/>
          <w:szCs w:val="16"/>
          <w:i w:val="1"/>
          <w:iCs w:val="1"/>
          <w:color w:val="auto"/>
        </w:rPr>
        <w:t>Grand Theft Auto 3</w:t>
      </w:r>
      <w:r>
        <w:rPr>
          <w:rFonts w:ascii="Arial" w:cs="Arial" w:eastAsia="Arial" w:hAnsi="Arial"/>
          <w:sz w:val="16"/>
          <w:szCs w:val="16"/>
          <w:color w:val="auto"/>
        </w:rPr>
        <w:t xml:space="preserve">, </w:t>
      </w:r>
      <w:r>
        <w:rPr>
          <w:rFonts w:ascii="Arial" w:cs="Arial" w:eastAsia="Arial" w:hAnsi="Arial"/>
          <w:sz w:val="16"/>
          <w:szCs w:val="16"/>
          <w:i w:val="1"/>
          <w:iCs w:val="1"/>
          <w:color w:val="auto"/>
        </w:rPr>
        <w:t>Grand Theft Auto: Vice City</w:t>
      </w:r>
      <w:r>
        <w:rPr>
          <w:rFonts w:ascii="Arial" w:cs="Arial" w:eastAsia="Arial" w:hAnsi="Arial"/>
          <w:sz w:val="16"/>
          <w:szCs w:val="16"/>
          <w:color w:val="auto"/>
        </w:rPr>
        <w:t xml:space="preserve">, </w:t>
      </w:r>
      <w:r>
        <w:rPr>
          <w:rFonts w:ascii="Arial" w:cs="Arial" w:eastAsia="Arial" w:hAnsi="Arial"/>
          <w:sz w:val="16"/>
          <w:szCs w:val="16"/>
          <w:i w:val="1"/>
          <w:iCs w:val="1"/>
          <w:color w:val="auto"/>
        </w:rPr>
        <w:t>Manhunt</w:t>
      </w:r>
      <w:r>
        <w:rPr>
          <w:rFonts w:ascii="Arial" w:cs="Arial" w:eastAsia="Arial" w:hAnsi="Arial"/>
          <w:sz w:val="16"/>
          <w:szCs w:val="16"/>
          <w:color w:val="auto"/>
        </w:rPr>
        <w:t xml:space="preserve"> and</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State of Emergency </w:t>
      </w:r>
      <w:r>
        <w:rPr>
          <w:rFonts w:ascii="Arial" w:cs="Arial" w:eastAsia="Arial" w:hAnsi="Arial"/>
          <w:sz w:val="18"/>
          <w:szCs w:val="18"/>
          <w:color w:val="auto"/>
        </w:rPr>
        <w:t>have been designated Sony’s Greatest Hits Program titles.</w:t>
      </w:r>
      <w:r>
        <w:rPr>
          <w:rFonts w:ascii="Arial" w:cs="Arial" w:eastAsia="Arial" w:hAnsi="Arial"/>
          <w:sz w:val="18"/>
          <w:szCs w:val="18"/>
          <w:i w:val="1"/>
          <w:iCs w:val="1"/>
          <w:color w:val="auto"/>
        </w:rPr>
        <w:t xml:space="preserve"> Max Payne, Midnight Club 2, </w:t>
      </w:r>
      <w:r>
        <w:rPr>
          <w:rFonts w:ascii="Arial" w:cs="Arial" w:eastAsia="Arial" w:hAnsi="Arial"/>
          <w:sz w:val="18"/>
          <w:szCs w:val="18"/>
          <w:color w:val="auto"/>
        </w:rPr>
        <w:t>and</w:t>
      </w:r>
      <w:r>
        <w:rPr>
          <w:rFonts w:ascii="Arial" w:cs="Arial" w:eastAsia="Arial" w:hAnsi="Arial"/>
          <w:sz w:val="18"/>
          <w:szCs w:val="18"/>
          <w:i w:val="1"/>
          <w:iCs w:val="1"/>
          <w:color w:val="auto"/>
        </w:rPr>
        <w:t xml:space="preserve"> Conflict: Desert Storm </w:t>
      </w:r>
      <w:r>
        <w:rPr>
          <w:rFonts w:ascii="Arial" w:cs="Arial" w:eastAsia="Arial" w:hAnsi="Arial"/>
          <w:sz w:val="18"/>
          <w:szCs w:val="18"/>
          <w:color w:val="auto"/>
        </w:rPr>
        <w:t>have been designated</w:t>
      </w:r>
      <w:r>
        <w:rPr>
          <w:rFonts w:ascii="Arial" w:cs="Arial" w:eastAsia="Arial" w:hAnsi="Arial"/>
          <w:sz w:val="18"/>
          <w:szCs w:val="18"/>
          <w:i w:val="1"/>
          <w:iCs w:val="1"/>
          <w:color w:val="auto"/>
        </w:rPr>
        <w:t xml:space="preserve"> </w:t>
      </w:r>
      <w:r>
        <w:rPr>
          <w:rFonts w:ascii="Arial" w:cs="Arial" w:eastAsia="Arial" w:hAnsi="Arial"/>
          <w:sz w:val="18"/>
          <w:szCs w:val="18"/>
          <w:color w:val="auto"/>
        </w:rPr>
        <w:t>Microsoft’s Platinum Hits Program titles. To qualify for these programs under our agreements with hardware manufacturers, our products had to satisfy certain shelf life and sales requirements. In connection with these programs, we receive manufacturing discounts from Sony and Microsoft. Nintendo has also established a Player’s Choice Program for the Nintendo GameCube.</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seek to stimulate continued sales and maximize profit potential by reducing the wholesale prices of our products to retailers at various times during the life of a product. Price concessions may occur at any time in a product’s life cycle, but typically occur six to nine months after a product’s initial launch. A significant amount of our price concessions to retailers relates to products designated as a Greatest or Platinum Hits Program title offered by Sony and Microsoft. Price concessions related to these Programs in fiscal 2004 and 2003 amounted to $5.5 million and $33.4 million, respectively. In certain international markets, we provide volume rebates to stimulate continued product sales.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employ various other marketing methods designed to promote consumer awareness, including in-store promotions and point-of-purchase displays, direct mail, co-operative advertising, as well as attendance at trade shows. We employ separate sales forces for our publishing and distribution operations. As of October 31, 2004, we had a sales and marketing staff of 237 persons.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distribute our own titles as well as third-party software, hardware and accessories in North America through our Jack of All Games subsidiary. We distribute three major categories of third-party console and handheld products, consisting principally of newly released and popular software titles, budget and catalog software titles, and hardware.</w:t>
      </w:r>
    </w:p>
    <w:p>
      <w:pPr>
        <w:spacing w:after="0" w:line="1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procure products from suppliers principally using standard purchase orders based on our assessment of market demand, as well as pre-orders from retailers. We periodically enter into agreements with our suppliers that provide exclusive distribution rights to certain products. We carry inventory quantities that we believe are necessary to provide rapid response time to retailer orders. We utilize electronic data interchange with many of our retailers to enhance the efficiency of placing and shipping orders and receiving payments.</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Jack of All Games subsidiary maintains warehouse facilities and sales offices in Ohio and Toronto, Canada. Products arrive at our warehouses to be picked, packed and shipped to customers. We generally ship products by common carrier. Because we generally ship products within seven days of receipt of orders, backlog is not material to our business.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Jack of All Games continues to capitalize on the growing installed base of hardware and the proliferation of software titles and outlets to purchase software. It has established a strong presence in the budget segment of the business due to its expanding portfolio of value-priced products and its expertise in selling these titles. Jack of All Games continues to leverage this strategy by serving as the exclusive distributor of our value-priced published products.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Sony and Nintendo are the sole manufacturers of software products sold for use on their respective hardware platforms. We begin the manufacturing process for our published titles by placing a purchase order for the manufacture of our products with Sony or Nintendo and utilizing our line of credit with the manufacturer. We then send software code and a prototype of the product to the manufacturer, together with related artwork, user instructions, warranty information, brochures and packaging designs for approval, defect testing and manufacture. Games manufactured by Sony and Nintendo are generally shipped within two weeks of receipt of our manufacturing order. The same procedure applies to games for the Xbox, although Xbox games must be manufactured by pre-approved manufacturers.</w:t>
      </w:r>
    </w:p>
    <w:p>
      <w:pPr>
        <w:spacing w:after="0" w:line="19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Production of PC software includes CD-ROM pressing, assembly of components, printing of packaging and user manuals and shipping of finished goods, which is performed by third-party vendors in accordance with our specifications, and, to a limited extent, by us. We believe that there are alternative sources for these services that could be obtained without delay. We send software code and a prototype of a title, together with related artwork, user instructions, warranty information, brochures and packaging designs to the manufacturers. Games are generally shipped within two weeks of receipt of our manufacturing order.</w:t>
      </w:r>
    </w:p>
    <w:p>
      <w:pPr>
        <w:spacing w:after="0" w:line="16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To date, we have not experienced any material difficulties or delays in the manufacture of our titles or material delays due to manufacturing defects. Our software titles carry a 90-day limited warranty.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our publishing business, we compete both for licenses to properties and the sale of interactive entertainment software with Sony, Microsoft and Nintendo, each of which is a large developer and marketer of software for its own platforms. Each of these competitors has the financial resources to withstand significant price competition and to implement extensive advertising campaigns, particularly for prime-time television spots. These companies may also increase their own software development efforts or focus on developing software products for third-party platforms.</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also compete with domestic companies such as Electronic Arts, Activision, THQ, Midway Games and Atari and international companies such as SEGA, Vivendi, Ubi Soft, Eidos, Capcom, Konami and Namco. In addition, we believe that large software companies and media companies are increasing their focus on the interactive entertainment software market. Certain of our competitors are developing online interactive games and interactive networks that may compete with our products for consumer dollars. Some of our competitors have greater financial, technical, personnel and other resources than we do, and are able to carry larger inventories and make higher offers to licensors and developers for commercially desirable properties than we can. Competition in the entertainment software industry is based on product quality and features; brand name recognition; access to distribution channels; effectiveness of marketing; and price.</w:t>
      </w:r>
    </w:p>
    <w:p>
      <w:pPr>
        <w:spacing w:after="0" w:line="1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Retailers have limited shelf space and promotional resources, and competition is intense among an increasing number of newly introduced entertainment software titles and hardware for adequate levels of shelf space and promotional support. Competition for retail shelf space is expected to increase, which may require us to increase our marketing expenditures to maintain current levels of sales of our titles. Competitors with more extensive lines and popular titles may have greater bargaining power with retailers. Accordingly, we may not be able to achieve the levels of support and shelf space that such competitors receive. Similarly, as competition for popular properties increases, our cost of acquiring licenses for such properties is likely to increase, possibly resulting in reduced margins. Prolonged price competition, increased licensing costs or reduced operating margins would cause our profits to decrease significantly.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Competition for our titles is influenced by the timing of competitive product releases and the similarity of such products to our titles and may result in loss of shelf space or a reduction in sell-through of our titles at retail stores. Our titles also compete with other forms of entertainment such as motion pictures, television and audio and video products featuring similar themes, online computer programs and other forms of entertainment which may be less expensive or provide other advantages to consumers.</w:t>
      </w:r>
    </w:p>
    <w:p>
      <w:pPr>
        <w:spacing w:after="0" w:line="19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our distribution business, we compete with large national companies such as Ingram Entertainment, as well as smaller regional distributors. We also compete with the efforts of the major entertainment software companies that distribute directly to retailers or over the Internet. Some of our competitors have greater financial, technical, personnel and other resources than we do, and are able to carry larger inventories, adopt more aggressive pricing policies and provide more comprehensive product selection than we can.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We develop proprietary software titles and have obtained the rights to publish and distribute software titles developed by third parties. We attempt to protect our software and production techniques under copyright, trademark and trade secret laws as well as through contractual restrictions on disclosure, copying and distribution. Although we generally do not hold any patents, we obtain trademark and copyright registrations for our products.</w:t>
      </w:r>
    </w:p>
    <w:p>
      <w:pPr>
        <w:spacing w:after="0" w:line="16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Interactive entertainment software is susceptible to piracy and unauthorized copying. Unauthorized third parties may be able to copy or to reverse engineer our titles to obtain and use programming or production techniques that we regard as proprietary. Well organized piracy operations have proliferated in recent years as a result of the ability to download pirated copies of our software over the Internet. Although we attempt to incorporate protective measures into our software, piracy of our products could negatively impact our future profitability. In addition, our competitors could independently develop technologies substantially equivalent or superior to our technologies.</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the amount of interactive entertainment software in the market increases and the functionality of this software further overlaps, we believe that interactive entertainment software will increasingly become the subject of claims that such software infringes the copyrights or patents of others. From time to time, we receive notices from third parties or are named in lawsuits by third parties alleging infringement of their proprietary rights. Although we believe that our titles and the titles and technologies of third-party developers and publishers with whom we have contractual relationships do not and will not infringe or violate proprietary rights of others, it is possible that infringement of proprietary rights of others may occur. Any claims of infringement, with or without merit, could be time consuming, costly and difficult to defend.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31"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Sales in international markets, principally in the United Kingdom and other countries in Europe, have accounted for a significant portion of our revenues. For fiscal 2004 and 2003, sales in international markets accounted for approximately 27.5% and 27.9%, respectively, of our revenues. We are subject to risks inherent in foreign trade, including increased credit risks, tariffs and duties, fluctuations in foreign currency exchange rates, shipping delays and international political, regulatory and economic developments, all of which can have a significant impact on our operating results. See Note 19 to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October 31, 2004, we had 1,435 full-time employees. None of our employees is subject to a collective bargaining agreement. We consider our relations with employees to be good.</w:t>
      </w:r>
    </w:p>
    <w:p>
      <w:pPr>
        <w:spacing w:after="0" w:line="18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principal executive offices are located at 622 Broadway, New York, New York in approximately 50,000 square feet of space under a ten-year lease, which provides for annual rent of approximately $1,488,000. We also sublease an additional 15,000 square feet at this location for an annual rent of approximately $368,000.</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Take-Two Interactive Software Europe leases 12,500 square feet of office space in Windsor, United Kingdom. The lease provides for a current annual rent of approximately $634,000 plus taxes and utilities, and expires in 2011. Rockstar North currently leases 14,600 square feet of office space in Edinburgh, Scotland, at an annual rent of approximately $993,000, which expires in 2014.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Jack of All Games leases approximately 206,000 square feet of office and warehouse space in Cincinnati, Ohio. Jack of All Games pays $1,100,000 per annum, plus taxes and insurance, under the lease, which expires in May 2006. Effective September 2004, Jack of All Games entered into a ten-year lease for 400,000 square feet of new office and state-of-the-art warehouse space. Jack of All Games pays approximately $1,000,000 per annum under the lease, plus taxes and insurance. Jack of All Games is entitled to a rent reduction in connection with its former warehouse space and will seek to sublease this space in April 2005. The transition to the new facility is planned to be completed by the end of May 2005.</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our other subsidiaries lease office space in Sydney, Australia; Vienna, Austria; Ontario, Toronto and Vancouver, Canada; Paris, France; Munich, Germany; Breda, Holland; Madrid, Spain; Geneva, Switzerland; Milan, Italy; Auckland, New Zealand; London, Lincoln and Leighton Buzzard, Newcastle-upon-Tyne, UK; and in San Diego, San Francisco and Los Angeles, California; Baltimore, Maryland; Fenton, Missouri; Austin, Texas; Salt Lake City, Utah; and Bellevue, Washington; for an aggregate annual rent of approximately $3,657,000.</w:t>
      </w:r>
    </w:p>
    <w:p>
      <w:pPr>
        <w:spacing w:after="0" w:line="1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November 2004, we submitted an offer of settlement of the previously announced investigation by the Enforcement Division of the Securities and Exchange Commission to the Staff of the Commission. The Staff has agreed to recommend the offer of settlement to the Commission. If approved by the Commission, the proposed settlement, under which we would neither admit nor deny the allegations of a Complaint, would fully resolve all claims relating to the investigation that commenced in December 2001. Pursuant to the offer of settlement, we would pay a civil penalty of $7.5 million, which has been accrued in the accompanying financial statements, and would be enjoined from future violations of the federal securities laws.</w:t>
      </w:r>
    </w:p>
    <w:p>
      <w:pPr>
        <w:spacing w:after="0" w:line="17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are also involved in routine litigation in the ordinary course of our business, which in management’s opinion will not have a material adverse effect on our financial condition, cash flows or results of operations.</w:t>
      </w:r>
    </w:p>
    <w:p>
      <w:pPr>
        <w:spacing w:after="0" w:line="18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and Related Stockholder Matterss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Market Information</w:t>
      </w:r>
      <w:r>
        <w:rPr>
          <w:rFonts w:ascii="Arial" w:cs="Arial" w:eastAsia="Arial" w:hAnsi="Arial"/>
          <w:sz w:val="18"/>
          <w:szCs w:val="18"/>
          <w:color w:val="auto"/>
        </w:rPr>
        <w:t>. Our common stock has traded since September 23, 1998 on the NASDAQ National Market under the symbol “TTWO.” From April 14, 1997</w:t>
      </w:r>
      <w:r>
        <w:rPr>
          <w:rFonts w:ascii="Arial" w:cs="Arial" w:eastAsia="Arial" w:hAnsi="Arial"/>
          <w:sz w:val="18"/>
          <w:szCs w:val="18"/>
          <w:i w:val="1"/>
          <w:iCs w:val="1"/>
          <w:color w:val="auto"/>
        </w:rPr>
        <w:t xml:space="preserve"> </w:t>
      </w:r>
      <w:r>
        <w:rPr>
          <w:rFonts w:ascii="Arial" w:cs="Arial" w:eastAsia="Arial" w:hAnsi="Arial"/>
          <w:sz w:val="18"/>
          <w:szCs w:val="18"/>
          <w:color w:val="auto"/>
        </w:rPr>
        <w:t>to September 22, 1998, our common stock traded on the NASDAQ SmallCap Market. The following table sets forth, for the periods indicated, the range of the high and low sale prices for the common stock as reported by NASDAQ.</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18"/>
          <w:szCs w:val="18"/>
          <w:b w:val="1"/>
          <w:bCs w:val="1"/>
          <w:u w:val="single" w:color="auto"/>
          <w:color w:val="auto"/>
        </w:rPr>
        <w:t>Year Ended October 31, 2003</w:t>
      </w:r>
    </w:p>
    <w:p>
      <w:pPr>
        <w:spacing w:after="0" w:line="3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ind w:right="134"/>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20" w:type="dxa"/>
            <w:vAlign w:val="bottom"/>
            <w:vMerge w:val="restart"/>
          </w:tcPr>
          <w:p>
            <w:pPr>
              <w:spacing w:after="0"/>
              <w:rPr>
                <w:sz w:val="24"/>
                <w:szCs w:val="24"/>
                <w:color w:val="auto"/>
              </w:rPr>
            </w:pPr>
          </w:p>
        </w:tc>
        <w:tc>
          <w:tcPr>
            <w:tcW w:w="2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Second Quarter</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Fourth Quarter</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41.67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24.35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5020" w:type="dxa"/>
            <w:vAlign w:val="bottom"/>
            <w:gridSpan w:val="4"/>
          </w:tcPr>
          <w:p>
            <w:pPr>
              <w:spacing w:after="0"/>
              <w:rPr>
                <w:sz w:val="20"/>
                <w:szCs w:val="20"/>
                <w:color w:val="auto"/>
              </w:rPr>
            </w:pPr>
            <w:r>
              <w:rPr>
                <w:rFonts w:ascii="Arial" w:cs="Arial" w:eastAsia="Arial" w:hAnsi="Arial"/>
                <w:sz w:val="18"/>
                <w:szCs w:val="18"/>
                <w:b w:val="1"/>
                <w:bCs w:val="1"/>
                <w:color w:val="auto"/>
              </w:rPr>
              <w:t>Year Ended October 31, 2004</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Borders>
              <w:top w:val="single" w:sz="8" w:color="auto"/>
            </w:tcBorders>
            <w:vMerge w:val="restart"/>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Second Quarter</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37.50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26.90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Fourth Quarter</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35.55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30.40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5020" w:type="dxa"/>
            <w:vAlign w:val="bottom"/>
            <w:gridSpan w:val="4"/>
          </w:tcPr>
          <w:p>
            <w:pPr>
              <w:spacing w:after="0"/>
              <w:rPr>
                <w:sz w:val="20"/>
                <w:szCs w:val="20"/>
                <w:color w:val="auto"/>
              </w:rPr>
            </w:pPr>
            <w:r>
              <w:rPr>
                <w:rFonts w:ascii="Arial" w:cs="Arial" w:eastAsia="Arial" w:hAnsi="Arial"/>
                <w:sz w:val="18"/>
                <w:szCs w:val="18"/>
                <w:b w:val="1"/>
                <w:bCs w:val="1"/>
                <w:color w:val="auto"/>
              </w:rPr>
              <w:t>Year Ending October 31, 2005</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Borders>
              <w:top w:val="single" w:sz="8" w:color="auto"/>
            </w:tcBorders>
            <w:vMerge w:val="restart"/>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Quarter (through December 10, 2004)</w:t>
            </w:r>
          </w:p>
        </w:tc>
        <w:tc>
          <w:tcPr>
            <w:tcW w:w="1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last reported sale price for our common stock on December 10, 2004 was $33.71. The number of record holders of our common stock was approximately 122 as of December 10, 2004. We believe that there are in excess of 1,000 beneficial owners of our common stock.</w:t>
      </w:r>
    </w:p>
    <w:p>
      <w:pPr>
        <w:spacing w:after="0" w:line="18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Dividend Policy</w:t>
      </w:r>
      <w:r>
        <w:rPr>
          <w:rFonts w:ascii="Arial" w:cs="Arial" w:eastAsia="Arial" w:hAnsi="Arial"/>
          <w:sz w:val="18"/>
          <w:szCs w:val="18"/>
          <w:color w:val="auto"/>
        </w:rPr>
        <w:t>. To date, we have not declared or paid any cash dividends. The payment of dividends, if any, in the future is within the discretion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will depend upon future earnings, capital requirements and other relevant factors. Our loan agreement with the bank prohibits us from paying cash dividends. We presently intend to retain all earnings to finance continued growth and development of our business and we do not expect to declare or pay any cash dividends in the foreseeable future.</w:t>
      </w:r>
    </w:p>
    <w:p>
      <w:pPr>
        <w:spacing w:after="0" w:line="197"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i w:val="1"/>
          <w:iCs w:val="1"/>
          <w:color w:val="auto"/>
        </w:rPr>
        <w:t>Changes in Securities</w:t>
      </w:r>
      <w:r>
        <w:rPr>
          <w:rFonts w:ascii="Arial" w:cs="Arial" w:eastAsia="Arial" w:hAnsi="Arial"/>
          <w:sz w:val="15"/>
          <w:szCs w:val="15"/>
          <w:color w:val="auto"/>
        </w:rPr>
        <w:t>. During the three months ended October 31, 2004, we issued an aggregate of 34,446 shares of restricted stock to nine employees under our</w:t>
      </w:r>
      <w:r>
        <w:rPr>
          <w:rFonts w:ascii="Arial" w:cs="Arial" w:eastAsia="Arial" w:hAnsi="Arial"/>
          <w:sz w:val="15"/>
          <w:szCs w:val="15"/>
          <w:i w:val="1"/>
          <w:iCs w:val="1"/>
          <w:color w:val="auto"/>
        </w:rPr>
        <w:t xml:space="preserve"> </w:t>
      </w:r>
      <w:r>
        <w:rPr>
          <w:rFonts w:ascii="Arial" w:cs="Arial" w:eastAsia="Arial" w:hAnsi="Arial"/>
          <w:sz w:val="15"/>
          <w:szCs w:val="15"/>
          <w:color w:val="auto"/>
        </w:rPr>
        <w:t>Incentive Stock Plan. In connection with the above securities issuances, we relied on Section 4(2) promulgated under the Securities Act of 1933, as amended.</w:t>
      </w:r>
    </w:p>
    <w:p>
      <w:pPr>
        <w:spacing w:after="0" w:line="11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i w:val="1"/>
          <w:iCs w:val="1"/>
          <w:color w:val="auto"/>
        </w:rPr>
        <w:t>Securities Authorized for Issuance under Equity Compensation Plans</w:t>
      </w:r>
      <w:r>
        <w:rPr>
          <w:rFonts w:ascii="Arial" w:cs="Arial" w:eastAsia="Arial" w:hAnsi="Arial"/>
          <w:sz w:val="18"/>
          <w:szCs w:val="18"/>
          <w:color w:val="auto"/>
        </w:rPr>
        <w:t>. The table setting forth this information is included in Part III – Item 12.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of Certain Beneficial Owners and Management.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31"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Our consolidated financial information should be read in conjunction with Management’s Discussion and Analysis of Financial Condition and Results of Operations and Consolidated Financial Statements (including the notes thereto) contained elsewhere in this report.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per share data)</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Years Ended October 31,</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88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88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94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35"/>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center"/>
              <w:ind w:right="155"/>
              <w:spacing w:after="0"/>
              <w:rPr>
                <w:sz w:val="20"/>
                <w:szCs w:val="20"/>
                <w:color w:val="auto"/>
              </w:rPr>
            </w:pPr>
            <w:r>
              <w:rPr>
                <w:rFonts w:ascii="Arial" w:cs="Arial" w:eastAsia="Arial" w:hAnsi="Arial"/>
                <w:sz w:val="14"/>
                <w:szCs w:val="14"/>
                <w:b w:val="1"/>
                <w:bCs w:val="1"/>
                <w:color w:val="auto"/>
                <w:w w:val="83"/>
              </w:rPr>
              <w:t>2002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2001(1)(2)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255"/>
              <w:spacing w:after="0"/>
              <w:rPr>
                <w:sz w:val="20"/>
                <w:szCs w:val="20"/>
                <w:color w:val="auto"/>
              </w:rPr>
            </w:pPr>
            <w:r>
              <w:rPr>
                <w:rFonts w:ascii="Arial" w:cs="Arial" w:eastAsia="Arial" w:hAnsi="Arial"/>
                <w:sz w:val="14"/>
                <w:szCs w:val="14"/>
                <w:b w:val="1"/>
                <w:bCs w:val="1"/>
                <w:color w:val="auto"/>
              </w:rPr>
              <w:t>2000(2)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600" w:type="dxa"/>
            <w:vAlign w:val="bottom"/>
            <w:vMerge w:val="restart"/>
          </w:tcPr>
          <w:p>
            <w:pPr>
              <w:spacing w:after="0"/>
              <w:rPr>
                <w:sz w:val="20"/>
                <w:szCs w:val="20"/>
                <w:color w:val="auto"/>
              </w:rPr>
            </w:pPr>
            <w:r>
              <w:rPr>
                <w:rFonts w:ascii="Arial" w:cs="Arial" w:eastAsia="Arial" w:hAnsi="Arial"/>
                <w:sz w:val="18"/>
                <w:szCs w:val="18"/>
                <w:color w:val="auto"/>
              </w:rPr>
              <w:t>Statement of Operations Data:</w:t>
            </w:r>
          </w:p>
        </w:tc>
        <w:tc>
          <w:tcPr>
            <w:tcW w:w="1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4"/>
        </w:trPr>
        <w:tc>
          <w:tcPr>
            <w:tcW w:w="4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1,127,751</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1,033,693</w:t>
            </w: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794,676</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451,396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358,918</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6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102,134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163,011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122,705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28,377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30,250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Income (loss) before cumulative effect of change in accounting</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principle</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98,118</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(1,674)</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600" w:type="dxa"/>
            <w:vAlign w:val="bottom"/>
          </w:tcPr>
          <w:p>
            <w:pPr>
              <w:spacing w:after="0"/>
              <w:rPr>
                <w:sz w:val="20"/>
                <w:szCs w:val="20"/>
                <w:color w:val="auto"/>
              </w:rPr>
            </w:pPr>
            <w:r>
              <w:rPr>
                <w:rFonts w:ascii="Arial" w:cs="Arial" w:eastAsia="Arial" w:hAnsi="Arial"/>
                <w:sz w:val="18"/>
                <w:szCs w:val="18"/>
                <w:color w:val="auto"/>
              </w:rPr>
              <w:t>Net income (loss)</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65,378</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98,118</w:t>
            </w:r>
          </w:p>
        </w:tc>
        <w:tc>
          <w:tcPr>
            <w:tcW w:w="4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71,563</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(6,918)</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4,555</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600" w:type="dxa"/>
            <w:vAlign w:val="bottom"/>
          </w:tcPr>
          <w:p>
            <w:pPr>
              <w:ind w:left="220"/>
              <w:spacing w:after="0"/>
              <w:rPr>
                <w:sz w:val="20"/>
                <w:szCs w:val="20"/>
                <w:color w:val="auto"/>
              </w:rPr>
            </w:pPr>
            <w:r>
              <w:rPr>
                <w:rFonts w:ascii="Arial" w:cs="Arial" w:eastAsia="Arial" w:hAnsi="Arial"/>
                <w:sz w:val="18"/>
                <w:szCs w:val="18"/>
                <w:color w:val="auto"/>
              </w:rPr>
              <w:t>Basic</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2.34</w:t>
            </w:r>
          </w:p>
        </w:tc>
        <w:tc>
          <w:tcPr>
            <w:tcW w:w="4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99"/>
        </w:trPr>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As of October 31,</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35"/>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center"/>
              <w:ind w:right="155"/>
              <w:spacing w:after="0"/>
              <w:rPr>
                <w:sz w:val="20"/>
                <w:szCs w:val="20"/>
                <w:color w:val="auto"/>
              </w:rPr>
            </w:pPr>
            <w:r>
              <w:rPr>
                <w:rFonts w:ascii="Arial" w:cs="Arial" w:eastAsia="Arial" w:hAnsi="Arial"/>
                <w:sz w:val="14"/>
                <w:szCs w:val="14"/>
                <w:b w:val="1"/>
                <w:bCs w:val="1"/>
                <w:color w:val="auto"/>
                <w:w w:val="83"/>
              </w:rPr>
              <w:t>2002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335"/>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600" w:type="dxa"/>
            <w:vAlign w:val="bottom"/>
            <w:vMerge w:val="restart"/>
          </w:tcPr>
          <w:p>
            <w:pPr>
              <w:spacing w:after="0"/>
              <w:rPr>
                <w:sz w:val="20"/>
                <w:szCs w:val="20"/>
                <w:color w:val="auto"/>
              </w:rPr>
            </w:pPr>
            <w:r>
              <w:rPr>
                <w:rFonts w:ascii="Arial" w:cs="Arial" w:eastAsia="Arial" w:hAnsi="Arial"/>
                <w:sz w:val="18"/>
                <w:szCs w:val="18"/>
                <w:color w:val="auto"/>
              </w:rPr>
              <w:t>Balance Sheet Data:</w:t>
            </w:r>
          </w:p>
        </w:tc>
        <w:tc>
          <w:tcPr>
            <w:tcW w:w="1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4"/>
        </w:trPr>
        <w:tc>
          <w:tcPr>
            <w:tcW w:w="4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155,095</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183,477</w:t>
            </w:r>
          </w:p>
        </w:tc>
        <w:tc>
          <w:tcPr>
            <w:tcW w:w="4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108,369</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600" w:type="dxa"/>
            <w:vAlign w:val="bottom"/>
          </w:tcPr>
          <w:p>
            <w:pPr>
              <w:spacing w:after="0"/>
              <w:rPr>
                <w:sz w:val="20"/>
                <w:szCs w:val="20"/>
                <w:color w:val="auto"/>
              </w:rPr>
            </w:pPr>
            <w:r>
              <w:rPr>
                <w:rFonts w:ascii="Arial" w:cs="Arial" w:eastAsia="Arial" w:hAnsi="Arial"/>
                <w:sz w:val="18"/>
                <w:szCs w:val="18"/>
                <w:color w:val="auto"/>
              </w:rPr>
              <w:t>Working capital</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395,131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347,922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196,555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91,794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65,663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950,513</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707,298</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491,440</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354,305</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326,173</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600" w:type="dxa"/>
            <w:vAlign w:val="bottom"/>
          </w:tcPr>
          <w:p>
            <w:pPr>
              <w:spacing w:after="0"/>
              <w:rPr>
                <w:sz w:val="20"/>
                <w:szCs w:val="20"/>
                <w:color w:val="auto"/>
              </w:rPr>
            </w:pPr>
            <w:r>
              <w:rPr>
                <w:rFonts w:ascii="Arial" w:cs="Arial" w:eastAsia="Arial" w:hAnsi="Arial"/>
                <w:sz w:val="18"/>
                <w:szCs w:val="18"/>
                <w:color w:val="auto"/>
              </w:rPr>
              <w:t>Total debt</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54,073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96,873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315,043</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173,806</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135,896</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135,140</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158,538</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60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635,470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533,492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355,544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219,165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167,634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10718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right="600" w:hanging="332"/>
        <w:spacing w:after="0" w:line="318"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approximately $23.8 million of net sales, $8.7 million of income from operations and $5.2 million of income included in loss before cumulative effect of change in accounting principle, representing the effect of the adoption of Staff Accounting Bulletin 101 “Revenue Recognition” (SAB 101) in the first quarter of fiscal 2001. There was no impact on net loss.</w:t>
      </w:r>
    </w:p>
    <w:p>
      <w:pPr>
        <w:spacing w:after="0" w:line="174" w:lineRule="exact"/>
        <w:rPr>
          <w:rFonts w:ascii="Arial" w:cs="Arial" w:eastAsia="Arial" w:hAnsi="Arial"/>
          <w:sz w:val="12"/>
          <w:szCs w:val="12"/>
          <w:color w:val="auto"/>
        </w:rPr>
      </w:pPr>
    </w:p>
    <w:p>
      <w:pPr>
        <w:jc w:val="both"/>
        <w:ind w:left="340" w:right="560"/>
        <w:spacing w:after="0" w:line="288" w:lineRule="auto"/>
        <w:rPr>
          <w:rFonts w:ascii="Arial" w:cs="Arial" w:eastAsia="Arial" w:hAnsi="Arial"/>
          <w:sz w:val="12"/>
          <w:szCs w:val="12"/>
          <w:color w:val="auto"/>
        </w:rPr>
      </w:pPr>
      <w:r>
        <w:rPr>
          <w:rFonts w:ascii="Arial" w:cs="Arial" w:eastAsia="Arial" w:hAnsi="Arial"/>
          <w:sz w:val="12"/>
          <w:szCs w:val="12"/>
          <w:color w:val="auto"/>
        </w:rPr>
        <w:t>As required by Statement of Financial Accounting Standards No. 145, “Rescission of FASB Statements No. 4, 44 and 64, Amendment to FASB Statement No. 13, and Technical Corrections”, the $1,948 net loss on extinguishment of debt for the year ended October 31, 2001 previously classified as an extraordinary item has been reclassified as follows: $3,165 of loss on extinguishment to non-operating expenses (included within loss before cumulative effect of change in accounting principle) and $1,217 of tax benefit to benefit for income taxes in the above table.</w:t>
      </w:r>
    </w:p>
    <w:p>
      <w:pPr>
        <w:spacing w:after="0" w:line="192" w:lineRule="exact"/>
        <w:rPr>
          <w:rFonts w:ascii="Arial" w:cs="Arial" w:eastAsia="Arial" w:hAnsi="Arial"/>
          <w:sz w:val="12"/>
          <w:szCs w:val="12"/>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Fiscal 2001 and 2000 includes amortization of goodwill of $4,116 and $2,123 prior to our adoption of SFAS 142, “Goodwill and Intangible Assets” in 2002.</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ind w:left="680" w:right="4080" w:hanging="674"/>
        <w:spacing w:after="0" w:line="275" w:lineRule="auto"/>
        <w:tabs>
          <w:tab w:leader="none" w:pos="66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 (Dollars in thousands, except per share amounts)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a leading global publisher of interactive software games designed for personal computers, and video game consoles and handheld platforms manufactured by Sony, Microsoft and Nintendo. We also distribute our products as well as third-party software, hardware and accessories to retail outlets in North America through our Jack of All Games subsidiary, and we have sales, marketing and publishing operations in Australia, Austria, Canada, France, Germany, Holland, Italy, New Zealand, Spain and the United Kingdom.</w:t>
      </w:r>
    </w:p>
    <w:p>
      <w:pPr>
        <w:spacing w:after="0" w:line="19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principal sources of revenue are derived from publishing and distribution operations. Publishing revenues are derived from the sale of internally developed software titles or software titles developed by third parties. Operating margins in our publishing business are dependent upon our ability to continually release new, commercially successful products. We develop most of our frontline products internally, and we own major intellectual properties, which we believe permits us to maximize profitability. Operating margins for titles based on licensed properties are affected by our costs to acquire licenses.</w:t>
      </w:r>
    </w:p>
    <w:p>
      <w:pPr>
        <w:spacing w:after="0" w:line="16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distribution revenues are derived from the sale of third-party software titles, accessories and hardware. Operating margins in our distribution business are dependent on the mix of software and hardware sales, with software generating higher margins than hardware. Publishing activities generate significantly higher margins than distribution activities, with sales of PC software titles resulting in higher margins than sales of products designed for video game consoles and handheld platforms.</w:t>
      </w:r>
    </w:p>
    <w:p>
      <w:pPr>
        <w:spacing w:after="0" w:line="19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Through our Rockstar Games subsidiary, we have pursued a growth strategy by capitalizing on the widespread market acceptance of video game consoles, as well as the growing popularity of innovative action games that appeal to mature audiences. We have established a portfolio of successful proprietary software content for the major hardware platforms. We expect to continue to be the leader in the mature, action product category by leveraging our existing franchises and developing new brands. We currently anticipate that the release of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 xml:space="preserve"> for the Xbox and PC, </w:t>
      </w:r>
      <w:r>
        <w:rPr>
          <w:rFonts w:ascii="Arial" w:cs="Arial" w:eastAsia="Arial" w:hAnsi="Arial"/>
          <w:sz w:val="16"/>
          <w:szCs w:val="16"/>
          <w:i w:val="1"/>
          <w:iCs w:val="1"/>
          <w:color w:val="auto"/>
        </w:rPr>
        <w:t>Midnight Club 3: DUB Edition</w:t>
      </w:r>
      <w:r>
        <w:rPr>
          <w:rFonts w:ascii="Arial" w:cs="Arial" w:eastAsia="Arial" w:hAnsi="Arial"/>
          <w:sz w:val="16"/>
          <w:szCs w:val="16"/>
          <w:color w:val="auto"/>
        </w:rPr>
        <w:t xml:space="preserve"> for the PlayStation 2 and Xbox and </w:t>
      </w:r>
      <w:r>
        <w:rPr>
          <w:rFonts w:ascii="Arial" w:cs="Arial" w:eastAsia="Arial" w:hAnsi="Arial"/>
          <w:sz w:val="16"/>
          <w:szCs w:val="16"/>
          <w:i w:val="1"/>
          <w:iCs w:val="1"/>
          <w:color w:val="auto"/>
        </w:rPr>
        <w:t>The Warriors</w:t>
      </w:r>
      <w:r>
        <w:rPr>
          <w:rFonts w:ascii="Arial" w:cs="Arial" w:eastAsia="Arial" w:hAnsi="Arial"/>
          <w:sz w:val="16"/>
          <w:szCs w:val="16"/>
          <w:color w:val="auto"/>
        </w:rPr>
        <w:t xml:space="preserve"> for the PlayStation 2 will generate significant cash flow from our publishing business in fiscal 2005.</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also seeking to diversify our product offerings through our Globalstar subsidiary by capitalizing on significant growth opportunities in the market for sports and other licensed action and strategy titles. We recently made strategic acquisitions of sports development studios, and we have the right to acquire Visual Concepts and Kush.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2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and the disclosure of contingent assets and liabilities at the dates of the financial statements and the reported amounts of net sales and expenses during the reporting periods. The most significant estimates and assumptions relate to the recoverability of prepaid royalties, capitalized software development costs and intangibles, inventories, realization of deferred income taxes and the adequacy of allowances for returns, price concessions and doubtful accounts. Actual amounts could differ significantly from these estimates.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recognize revenue upon the transfer of title and risk of loss to our customers. We apply the provisions of Statement of Position 97-2, “Software Revenue Recognition” in conjunction with the applicable provisions of Staff Accounting Bulletin No. 104, “Revenue Recognition.” Accordingly, we recognize revenue for software when there is (1) persuasive evidence that an arrangement with our customer exists, which is generally a customer purchase order, (2) the software is delivered, (3) the selling price is fixed or determinable and (4) collection of the customer receivable is deemed probable. Our payment arrangements with customers typically provide net 30 and 60-day terms.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Revenue is recognized after deducting estimated reserves for returns and price concessions. In specific circumstances when we do not have a reliable basis to estimate returns and price concessions or are unable to determine that collection of receivables is probable, we defer the sale until such time as we can reliably estimate any related returns and allowances and determine that collection of the receivables is probable.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Returns and Price Concessions</w:t>
      </w:r>
    </w:p>
    <w:p>
      <w:pPr>
        <w:spacing w:after="0" w:line="2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accept returns and grant price concessions in connection with our publishing arrangements. Following reductions in the price of our products, we grant price concessions to permit customers to take credits against amounts they owe us with respect to merchandise unsold by them. Our customers must satisfy certain conditions to entitle them to return products or receive price concessions, including compliance with applicable payment terms and confirmation of field inventory levels.</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distribution arrangements with customers do not give them the right to return titles or to cancel firm orders. However, we sometimes accept returns from our distribution customers for stock balancing and make accommodations to customers, which includes credits and returns, when demand for specific titles falls below expectations.</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make estimates of future product returns and price concessions related to current period product revenue. We estimate the amount of future returns and price concessions for published titles based upon, among other factors, historical experience, customer inventory levels, analysis of sell-through rates, market conditions and changes in demand and acceptance of our products by consumers.</w:t>
      </w:r>
    </w:p>
    <w:p>
      <w:pPr>
        <w:spacing w:after="0" w:line="194"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Significant management judgments and estimates must be made and used in connection with establishing the allowance for returns and price concessions in any accounting period. We believe we can make reliable estimates of returns and price concessions. However, actual results may differ from initial estimates as a result of changes in circumstances, market conditions and assumptions. Adjustments to estimates are recorded in the period in which they become known.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Royalties</w:t>
      </w:r>
    </w:p>
    <w:p>
      <w:pPr>
        <w:spacing w:after="0" w:line="23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Our agreements with licensors and developers generally provide us with exclusive publishing rights and require us to make advance royalty payments that are recouped against royalties due to the licensor or developer based on contractual amounts on product sales, adjusted for certain costs. Prepaid royalties are amortized as cost of sales on a title-by-title basis based on the greater of the proportion of current year sales to total of current and estimated future sales for that title or the contractual royalty rate based on actual net product sales as defined in the respective agreements. At each balance sheet date, we evaluate the recoverability of prepaid royalties and charge to cost of sales the amount that management determines is probable that will not be recouped at the contractual royalty rate based on current and future sales in the period in which such determination is made or if we determine that we will cancel a development project. Prepaid royalties are classified as current and non-current assets based upon estimated net product sales within the next year. See Note 4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Development Costs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capitalize internal software development costs, as well as film production and other content costs subsequent to establishing technological feasibility of a title. Capitalized software development costs represent the costs associated with the internal development of our publishing products. Amortization of such costs as a component of cost of sales is recorded on a title by title basis based on the greater of the proportion of current year sales to total of current and estimated future sales for the title or the straight-line method over the remaining estimated useful life of the title. At each balance sheet date, we evaluate the recoverability of capitalized software costs based on undiscounted future cash flows and will charge to cost of sales any amounts that are deemed unrecoverable or for projects that we will abandon. See Note 7 to Consolidated Financial Statements.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Income tax assets and liabilities are determined by taxable jurisdiction. We do not provide taxes on undistributed earnings of our international subsidiaries. The total amount of undistributed earnings of foreign subsidiaries was approximately $89,700 for fiscal 2004. It is our intention to reinvest undistributed earnings of our foreign subsidiaries and thereby indefinitely postpone their remittance. Accordingly, no provision has been made for foreign withholding taxes or United States income taxes which may become payable if undistributed earnings of foreign subsidiaries are paid as dividends to us. The realization of deferred tax assets depends on whether we generate future taxable income of the appropriate type. In addition, we may adopt tax planning strategies to realize these assets. If future taxable income does not materialize or tax planning strategies are not effective, we may be required to record a valuation allowance.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3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December 2004, the Financial Accounting Standards Board (“FASB”) issued Statement of Financial Accounting Standards No. 123 (revised 2004), “Share-Based Payment” which revised Statement of Financial Accounting Standards No. 123, “Accounting for Stock-Based Compensation”. This statement supercedes APB Opinion No. 25, “Accounting for Stock Issued to Employees.” The revised statement addresses the accounting for share-based payment transactions with employees and other third parties, eliminates the ability to account for share-based compensation transactions using APB 25 and requires that the compensation costs relating to such transactions be recognized in the consolidated statement of operations. The revised statement is effective as of the first interim period beginning after June 15, 2005. The adoption of this standard, effective August 1, 2005, is expected to have a material impact on our consolidated financial statements.</w:t>
      </w:r>
    </w:p>
    <w:p>
      <w:pPr>
        <w:spacing w:after="0" w:line="20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December 2003, The Financial Accounting Standards Board (“FASB”) revised Interpretation No. 46 “Consolidation of Variable Interest Entities” with certain clarifications and modifications. Revised Interpretation No. 46(R) provides guidance on the identification of variable interest entities, entities for which control is achieved through means other than through voting rights, and how to determine whether a variable interest holder should consolidate the variable interest entities. This Interpretation shall be applied to all entities subject to this Interpretation no later than the first reporting period that ends after March 15, 2004. The adoption of the revised Interpretation did not have a material impact on the consolidated financial statements.</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December 2003, the SEC issued Staff Accounting Bulletin (“SAB”) No. 104, “Revenue Recognition,” which supercedes SAB No. 101, “Revenue Recognition in Financial Statements.” The primary purpose of SAB No. 104 is to rescind accounting guidance contained in SAB No. 101 related to multiple element revenue arrangements, superceded as a result of the issuance of Emerging Issues Task Force (“EITF”) Issue No. 00-21, “Accounting for Revenue Arrangements with Multiple Deliverables.” Additionally, SAB No. 104 rescinds the SEC’s Revenue Recognition in Financial Statements Frequently Asked Questions and Answers (“FAQ”) issued with SAB No. 101. The adoption of SAB No. 104 in the first quarter of fiscal 2004 did not have a material impact on our consolidated financial statements.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table sets forth for the periods indicated the percentage of net sales represented by certain items reflected in our statement of operations, and sets forth sales by territory, sales mix and platform:</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Years Ended October 31,</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39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1"/>
        </w:trPr>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Data:</w:t>
            </w:r>
          </w:p>
        </w:tc>
        <w:tc>
          <w:tcPr>
            <w:tcW w:w="4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4"/>
                <w:szCs w:val="24"/>
                <w:color w:val="auto"/>
              </w:rPr>
            </w:pPr>
          </w:p>
        </w:tc>
        <w:tc>
          <w:tcPr>
            <w:tcW w:w="9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4"/>
                <w:szCs w:val="24"/>
                <w:color w:val="auto"/>
              </w:rPr>
            </w:pPr>
          </w:p>
        </w:tc>
        <w:tc>
          <w:tcPr>
            <w:tcW w:w="9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920" w:type="dxa"/>
            <w:vAlign w:val="bottom"/>
            <w:gridSpan w:val="2"/>
            <w:vMerge w:val="continue"/>
          </w:tcPr>
          <w:p>
            <w:pPr>
              <w:spacing w:after="0"/>
              <w:rPr>
                <w:sz w:val="8"/>
                <w:szCs w:val="8"/>
                <w:color w:val="auto"/>
              </w:rPr>
            </w:pPr>
          </w:p>
        </w:tc>
        <w:tc>
          <w:tcPr>
            <w:tcW w:w="39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3920" w:type="dxa"/>
            <w:vAlign w:val="bottom"/>
            <w:gridSpan w:val="2"/>
            <w:vMerge w:val="continue"/>
          </w:tcPr>
          <w:p>
            <w:pPr>
              <w:spacing w:after="0"/>
              <w:rPr>
                <w:sz w:val="7"/>
                <w:szCs w:val="7"/>
                <w:color w:val="auto"/>
              </w:rPr>
            </w:pPr>
          </w:p>
        </w:tc>
        <w:tc>
          <w:tcPr>
            <w:tcW w:w="3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20" w:type="dxa"/>
            <w:vAlign w:val="bottom"/>
            <w:vMerge w:val="restart"/>
          </w:tcPr>
          <w:p>
            <w:pPr>
              <w:spacing w:after="0"/>
              <w:rPr>
                <w:sz w:val="23"/>
                <w:szCs w:val="23"/>
                <w:color w:val="auto"/>
              </w:rPr>
            </w:pPr>
          </w:p>
        </w:tc>
        <w:tc>
          <w:tcPr>
            <w:tcW w:w="390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5160" w:type="dxa"/>
            <w:vAlign w:val="bottom"/>
            <w:tcBorders>
              <w:bottom w:val="single" w:sz="8" w:color="CCEEFF"/>
            </w:tcBorders>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100.0%</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Cost of sales</w:t>
            </w:r>
          </w:p>
        </w:tc>
        <w:tc>
          <w:tcPr>
            <w:tcW w:w="3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Product costs</w:t>
            </w:r>
          </w:p>
        </w:tc>
        <w:tc>
          <w:tcPr>
            <w:tcW w:w="5160" w:type="dxa"/>
            <w:vAlign w:val="bottom"/>
            <w:gridSpan w:val="3"/>
          </w:tcPr>
          <w:p>
            <w:pPr>
              <w:jc w:val="right"/>
              <w:ind w:right="272"/>
              <w:spacing w:after="0"/>
              <w:rPr>
                <w:sz w:val="20"/>
                <w:szCs w:val="20"/>
                <w:color w:val="auto"/>
              </w:rPr>
            </w:pPr>
            <w:r>
              <w:rPr>
                <w:rFonts w:ascii="Arial" w:cs="Arial" w:eastAsia="Arial" w:hAnsi="Arial"/>
                <w:sz w:val="18"/>
                <w:szCs w:val="18"/>
                <w:color w:val="auto"/>
              </w:rPr>
              <w:t>55.0</w:t>
            </w:r>
          </w:p>
        </w:tc>
        <w:tc>
          <w:tcPr>
            <w:tcW w:w="900" w:type="dxa"/>
            <w:vAlign w:val="bottom"/>
          </w:tcPr>
          <w:p>
            <w:pPr>
              <w:jc w:val="right"/>
              <w:spacing w:after="0"/>
              <w:rPr>
                <w:sz w:val="20"/>
                <w:szCs w:val="20"/>
                <w:color w:val="auto"/>
              </w:rPr>
            </w:pPr>
            <w:r>
              <w:rPr>
                <w:rFonts w:ascii="Arial" w:cs="Arial" w:eastAsia="Arial" w:hAnsi="Arial"/>
                <w:sz w:val="18"/>
                <w:szCs w:val="18"/>
                <w:color w:val="auto"/>
              </w:rPr>
              <w:t>52.0</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Royalties</w:t>
            </w:r>
          </w:p>
        </w:tc>
        <w:tc>
          <w:tcPr>
            <w:tcW w:w="5160" w:type="dxa"/>
            <w:vAlign w:val="bottom"/>
            <w:tcBorders>
              <w:bottom w:val="single" w:sz="8" w:color="CCEEFF"/>
            </w:tcBorders>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10.1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Software development costs</w:t>
            </w:r>
          </w:p>
        </w:tc>
        <w:tc>
          <w:tcPr>
            <w:tcW w:w="5160" w:type="dxa"/>
            <w:vAlign w:val="bottom"/>
            <w:gridSpan w:val="3"/>
          </w:tcPr>
          <w:p>
            <w:pPr>
              <w:jc w:val="right"/>
              <w:ind w:right="272"/>
              <w:spacing w:after="0"/>
              <w:rPr>
                <w:sz w:val="20"/>
                <w:szCs w:val="20"/>
                <w:color w:val="auto"/>
              </w:rPr>
            </w:pPr>
            <w:r>
              <w:rPr>
                <w:rFonts w:ascii="Arial" w:cs="Arial" w:eastAsia="Arial" w:hAnsi="Arial"/>
                <w:sz w:val="18"/>
                <w:szCs w:val="18"/>
                <w:color w:val="auto"/>
              </w:rPr>
              <w:t>1.4</w:t>
            </w: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5160" w:type="dxa"/>
            <w:vAlign w:val="bottom"/>
            <w:tcBorders>
              <w:bottom w:val="single" w:sz="8" w:color="CCEEFF"/>
            </w:tcBorders>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66.5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Selling and marketing</w:t>
            </w:r>
          </w:p>
        </w:tc>
        <w:tc>
          <w:tcPr>
            <w:tcW w:w="5160" w:type="dxa"/>
            <w:vAlign w:val="bottom"/>
            <w:gridSpan w:val="3"/>
          </w:tcPr>
          <w:p>
            <w:pPr>
              <w:jc w:val="right"/>
              <w:ind w:right="272"/>
              <w:spacing w:after="0"/>
              <w:rPr>
                <w:sz w:val="20"/>
                <w:szCs w:val="20"/>
                <w:color w:val="auto"/>
              </w:rPr>
            </w:pPr>
            <w:r>
              <w:rPr>
                <w:rFonts w:ascii="Arial" w:cs="Arial" w:eastAsia="Arial" w:hAnsi="Arial"/>
                <w:sz w:val="18"/>
                <w:szCs w:val="18"/>
                <w:color w:val="auto"/>
              </w:rPr>
              <w:t>10.4</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160" w:type="dxa"/>
            <w:vAlign w:val="bottom"/>
            <w:tcBorders>
              <w:bottom w:val="single" w:sz="8" w:color="CCEEFF"/>
            </w:tcBorders>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8.7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160" w:type="dxa"/>
            <w:vAlign w:val="bottom"/>
            <w:gridSpan w:val="3"/>
          </w:tcPr>
          <w:p>
            <w:pPr>
              <w:jc w:val="right"/>
              <w:ind w:right="272"/>
              <w:spacing w:after="0"/>
              <w:rPr>
                <w:sz w:val="20"/>
                <w:szCs w:val="20"/>
                <w:color w:val="auto"/>
              </w:rPr>
            </w:pPr>
            <w:r>
              <w:rPr>
                <w:rFonts w:ascii="Arial" w:cs="Arial" w:eastAsia="Arial" w:hAnsi="Arial"/>
                <w:sz w:val="18"/>
                <w:szCs w:val="18"/>
                <w:color w:val="auto"/>
              </w:rPr>
              <w:t>3.8</w:t>
            </w: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160" w:type="dxa"/>
            <w:vAlign w:val="bottom"/>
            <w:tcBorders>
              <w:bottom w:val="single" w:sz="8" w:color="CCEEFF"/>
            </w:tcBorders>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1.5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5160" w:type="dxa"/>
            <w:vAlign w:val="bottom"/>
            <w:gridSpan w:val="3"/>
          </w:tcPr>
          <w:p>
            <w:pPr>
              <w:jc w:val="right"/>
              <w:ind w:right="212"/>
              <w:spacing w:after="0"/>
              <w:rPr>
                <w:sz w:val="20"/>
                <w:szCs w:val="20"/>
                <w:color w:val="auto"/>
              </w:rPr>
            </w:pPr>
            <w:r>
              <w:rPr>
                <w:rFonts w:ascii="Arial" w:cs="Arial" w:eastAsia="Arial" w:hAnsi="Arial"/>
                <w:sz w:val="18"/>
                <w:szCs w:val="18"/>
                <w:color w:val="auto"/>
              </w:rPr>
              <w:t>(0.2)</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non-operating expense</w:t>
            </w:r>
          </w:p>
        </w:tc>
        <w:tc>
          <w:tcPr>
            <w:tcW w:w="5160" w:type="dxa"/>
            <w:vAlign w:val="bottom"/>
            <w:tcBorders>
              <w:bottom w:val="single" w:sz="8" w:color="CCEEFF"/>
            </w:tcBorders>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0.7</w:t>
            </w: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160" w:type="dxa"/>
            <w:vAlign w:val="bottom"/>
            <w:gridSpan w:val="3"/>
          </w:tcPr>
          <w:p>
            <w:pPr>
              <w:jc w:val="right"/>
              <w:ind w:right="272"/>
              <w:spacing w:after="0"/>
              <w:rPr>
                <w:sz w:val="20"/>
                <w:szCs w:val="20"/>
                <w:color w:val="auto"/>
              </w:rPr>
            </w:pPr>
            <w:r>
              <w:rPr>
                <w:rFonts w:ascii="Arial" w:cs="Arial" w:eastAsia="Arial" w:hAnsi="Arial"/>
                <w:sz w:val="18"/>
                <w:szCs w:val="18"/>
                <w:color w:val="auto"/>
              </w:rPr>
              <w:t>2.8</w:t>
            </w: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5160" w:type="dxa"/>
            <w:vAlign w:val="bottom"/>
            <w:tcBorders>
              <w:bottom w:val="single" w:sz="8" w:color="CCEEFF"/>
            </w:tcBorders>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5.8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Sales by Territory:</w:t>
            </w:r>
          </w:p>
        </w:tc>
        <w:tc>
          <w:tcPr>
            <w:tcW w:w="3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920" w:type="dxa"/>
            <w:vAlign w:val="bottom"/>
            <w:gridSpan w:val="2"/>
          </w:tcPr>
          <w:p>
            <w:pPr>
              <w:spacing w:after="0"/>
              <w:rPr>
                <w:sz w:val="20"/>
                <w:szCs w:val="20"/>
                <w:color w:val="auto"/>
              </w:rPr>
            </w:pPr>
            <w:r>
              <w:rPr>
                <w:rFonts w:ascii="Arial" w:cs="Arial" w:eastAsia="Arial" w:hAnsi="Arial"/>
                <w:sz w:val="18"/>
                <w:szCs w:val="18"/>
                <w:color w:val="auto"/>
              </w:rPr>
              <w:t>North America</w:t>
            </w:r>
          </w:p>
        </w:tc>
        <w:tc>
          <w:tcPr>
            <w:tcW w:w="5160" w:type="dxa"/>
            <w:vAlign w:val="bottom"/>
            <w:gridSpan w:val="3"/>
          </w:tcPr>
          <w:p>
            <w:pPr>
              <w:jc w:val="right"/>
              <w:ind w:right="112"/>
              <w:spacing w:after="0"/>
              <w:rPr>
                <w:sz w:val="20"/>
                <w:szCs w:val="20"/>
                <w:color w:val="auto"/>
              </w:rPr>
            </w:pPr>
            <w:r>
              <w:rPr>
                <w:rFonts w:ascii="Arial" w:cs="Arial" w:eastAsia="Arial" w:hAnsi="Arial"/>
                <w:sz w:val="18"/>
                <w:szCs w:val="18"/>
                <w:color w:val="auto"/>
              </w:rPr>
              <w:t>72.5%</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72.1%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International</w:t>
            </w:r>
          </w:p>
        </w:tc>
        <w:tc>
          <w:tcPr>
            <w:tcW w:w="5160" w:type="dxa"/>
            <w:vAlign w:val="bottom"/>
            <w:tcBorders>
              <w:bottom w:val="single" w:sz="8" w:color="CCEEFF"/>
            </w:tcBorders>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27.5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Sales Mix:</w:t>
            </w:r>
          </w:p>
        </w:tc>
        <w:tc>
          <w:tcPr>
            <w:tcW w:w="3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920" w:type="dxa"/>
            <w:vAlign w:val="bottom"/>
            <w:gridSpan w:val="2"/>
          </w:tcPr>
          <w:p>
            <w:pPr>
              <w:spacing w:after="0"/>
              <w:rPr>
                <w:sz w:val="20"/>
                <w:szCs w:val="20"/>
                <w:color w:val="auto"/>
              </w:rPr>
            </w:pPr>
            <w:r>
              <w:rPr>
                <w:rFonts w:ascii="Arial" w:cs="Arial" w:eastAsia="Arial" w:hAnsi="Arial"/>
                <w:sz w:val="18"/>
                <w:szCs w:val="18"/>
                <w:color w:val="auto"/>
              </w:rPr>
              <w:t>Publishing</w:t>
            </w:r>
          </w:p>
        </w:tc>
        <w:tc>
          <w:tcPr>
            <w:tcW w:w="5160" w:type="dxa"/>
            <w:vAlign w:val="bottom"/>
            <w:gridSpan w:val="3"/>
          </w:tcPr>
          <w:p>
            <w:pPr>
              <w:jc w:val="right"/>
              <w:ind w:right="112"/>
              <w:spacing w:after="0"/>
              <w:rPr>
                <w:sz w:val="20"/>
                <w:szCs w:val="20"/>
                <w:color w:val="auto"/>
              </w:rPr>
            </w:pPr>
            <w:r>
              <w:rPr>
                <w:rFonts w:ascii="Arial" w:cs="Arial" w:eastAsia="Arial" w:hAnsi="Arial"/>
                <w:sz w:val="18"/>
                <w:szCs w:val="18"/>
                <w:color w:val="auto"/>
              </w:rPr>
              <w:t>68.1%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65.0%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Distribution</w:t>
            </w:r>
          </w:p>
        </w:tc>
        <w:tc>
          <w:tcPr>
            <w:tcW w:w="5160" w:type="dxa"/>
            <w:vAlign w:val="bottom"/>
            <w:tcBorders>
              <w:bottom w:val="single" w:sz="8" w:color="CCEEFF"/>
            </w:tcBorders>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31.9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Platform (publishing):</w:t>
            </w:r>
          </w:p>
        </w:tc>
        <w:tc>
          <w:tcPr>
            <w:tcW w:w="3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920" w:type="dxa"/>
            <w:vAlign w:val="bottom"/>
            <w:gridSpan w:val="2"/>
          </w:tcPr>
          <w:p>
            <w:pPr>
              <w:spacing w:after="0"/>
              <w:rPr>
                <w:sz w:val="20"/>
                <w:szCs w:val="20"/>
                <w:color w:val="auto"/>
              </w:rPr>
            </w:pPr>
            <w:r>
              <w:rPr>
                <w:rFonts w:ascii="Arial" w:cs="Arial" w:eastAsia="Arial" w:hAnsi="Arial"/>
                <w:sz w:val="18"/>
                <w:szCs w:val="18"/>
                <w:color w:val="auto"/>
              </w:rPr>
              <w:t>Console</w:t>
            </w:r>
          </w:p>
        </w:tc>
        <w:tc>
          <w:tcPr>
            <w:tcW w:w="5160" w:type="dxa"/>
            <w:vAlign w:val="bottom"/>
            <w:gridSpan w:val="3"/>
          </w:tcPr>
          <w:p>
            <w:pPr>
              <w:jc w:val="right"/>
              <w:ind w:right="112"/>
              <w:spacing w:after="0"/>
              <w:rPr>
                <w:sz w:val="20"/>
                <w:szCs w:val="20"/>
                <w:color w:val="auto"/>
              </w:rPr>
            </w:pPr>
            <w:r>
              <w:rPr>
                <w:rFonts w:ascii="Arial" w:cs="Arial" w:eastAsia="Arial" w:hAnsi="Arial"/>
                <w:sz w:val="18"/>
                <w:szCs w:val="18"/>
                <w:color w:val="auto"/>
              </w:rPr>
              <w:t>93.1%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81.2%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PC</w:t>
            </w:r>
          </w:p>
        </w:tc>
        <w:tc>
          <w:tcPr>
            <w:tcW w:w="5160" w:type="dxa"/>
            <w:vAlign w:val="bottom"/>
            <w:tcBorders>
              <w:bottom w:val="single" w:sz="8" w:color="CCEEFF"/>
            </w:tcBorders>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2.7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Accessories and Handheld</w:t>
            </w:r>
          </w:p>
        </w:tc>
        <w:tc>
          <w:tcPr>
            <w:tcW w:w="5160" w:type="dxa"/>
            <w:vAlign w:val="bottom"/>
            <w:gridSpan w:val="3"/>
          </w:tcPr>
          <w:p>
            <w:pPr>
              <w:jc w:val="right"/>
              <w:ind w:right="272"/>
              <w:spacing w:after="0"/>
              <w:rPr>
                <w:sz w:val="20"/>
                <w:szCs w:val="20"/>
                <w:color w:val="auto"/>
              </w:rPr>
            </w:pPr>
            <w:r>
              <w:rPr>
                <w:rFonts w:ascii="Arial" w:cs="Arial" w:eastAsia="Arial" w:hAnsi="Arial"/>
                <w:sz w:val="18"/>
                <w:szCs w:val="18"/>
                <w:color w:val="auto"/>
              </w:rPr>
              <w:t>4.2</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920" w:type="dxa"/>
            <w:vAlign w:val="bottom"/>
          </w:tcPr>
          <w:p>
            <w:pPr>
              <w:jc w:val="right"/>
              <w:ind w:right="1953"/>
              <w:spacing w:after="0"/>
              <w:rPr>
                <w:sz w:val="20"/>
                <w:szCs w:val="20"/>
                <w:color w:val="auto"/>
              </w:rPr>
            </w:pPr>
            <w:r>
              <w:rPr>
                <w:rFonts w:ascii="Arial" w:cs="Arial" w:eastAsia="Arial" w:hAnsi="Arial"/>
                <w:sz w:val="18"/>
                <w:szCs w:val="18"/>
                <w:color w:val="auto"/>
              </w:rPr>
              <w:t>16</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10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Back to Index</w:t>
              </w:r>
            </w:hyperlink>
          </w:p>
        </w:tc>
        <w:tc>
          <w:tcPr>
            <w:tcW w:w="30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6820" w:type="dxa"/>
            <w:vAlign w:val="bottom"/>
            <w:gridSpan w:val="4"/>
          </w:tcPr>
          <w:p>
            <w:pPr>
              <w:spacing w:after="0"/>
              <w:rPr>
                <w:sz w:val="20"/>
                <w:szCs w:val="20"/>
                <w:color w:val="auto"/>
              </w:rPr>
            </w:pPr>
            <w:r>
              <w:rPr>
                <w:rFonts w:ascii="Arial" w:cs="Arial" w:eastAsia="Arial" w:hAnsi="Arial"/>
                <w:sz w:val="18"/>
                <w:szCs w:val="18"/>
                <w:color w:val="auto"/>
                <w:w w:val="92"/>
              </w:rPr>
              <w:t>Our best-selling titles for fiscal 2004, 2003 and 2002 as a percentage of sales are as follows:</w:t>
            </w:r>
          </w:p>
        </w:tc>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100" w:type="dxa"/>
            <w:vAlign w:val="bottom"/>
          </w:tcPr>
          <w:p>
            <w:pPr>
              <w:jc w:val="right"/>
              <w:ind w:right="612"/>
              <w:spacing w:after="0"/>
              <w:rPr>
                <w:sz w:val="20"/>
                <w:szCs w:val="20"/>
                <w:color w:val="auto"/>
              </w:rPr>
            </w:pPr>
            <w:r>
              <w:rPr>
                <w:rFonts w:ascii="Arial" w:cs="Arial" w:eastAsia="Arial" w:hAnsi="Arial"/>
                <w:sz w:val="18"/>
                <w:szCs w:val="18"/>
                <w:b w:val="1"/>
                <w:bCs w:val="1"/>
                <w:color w:val="auto"/>
              </w:rPr>
              <w:t>%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Top 10 Titles – 2004</w:t>
            </w:r>
          </w:p>
        </w:tc>
        <w:tc>
          <w:tcPr>
            <w:tcW w:w="2760" w:type="dxa"/>
            <w:vAlign w:val="bottom"/>
          </w:tcPr>
          <w:p>
            <w:pPr>
              <w:ind w:left="1400"/>
              <w:spacing w:after="0"/>
              <w:rPr>
                <w:sz w:val="20"/>
                <w:szCs w:val="20"/>
                <w:color w:val="auto"/>
              </w:rPr>
            </w:pPr>
            <w:r>
              <w:rPr>
                <w:rFonts w:ascii="Arial" w:cs="Arial" w:eastAsia="Arial" w:hAnsi="Arial"/>
                <w:sz w:val="18"/>
                <w:szCs w:val="18"/>
                <w:b w:val="1"/>
                <w:bCs w:val="1"/>
                <w:color w:val="auto"/>
              </w:rPr>
              <w:t>Platform</w:t>
            </w:r>
          </w:p>
        </w:tc>
        <w:tc>
          <w:tcPr>
            <w:tcW w:w="2500" w:type="dxa"/>
            <w:vAlign w:val="bottom"/>
          </w:tcPr>
          <w:p>
            <w:pPr>
              <w:ind w:left="340"/>
              <w:spacing w:after="0"/>
              <w:rPr>
                <w:sz w:val="20"/>
                <w:szCs w:val="20"/>
                <w:color w:val="auto"/>
              </w:rPr>
            </w:pPr>
            <w:r>
              <w:rPr>
                <w:rFonts w:ascii="Arial" w:cs="Arial" w:eastAsia="Arial" w:hAnsi="Arial"/>
                <w:sz w:val="18"/>
                <w:szCs w:val="18"/>
                <w:b w:val="1"/>
                <w:bCs w:val="1"/>
                <w:color w:val="auto"/>
              </w:rPr>
              <w:t>Release Date</w:t>
            </w:r>
          </w:p>
        </w:tc>
        <w:tc>
          <w:tcPr>
            <w:tcW w:w="2100" w:type="dxa"/>
            <w:vAlign w:val="bottom"/>
          </w:tcPr>
          <w:p>
            <w:pPr>
              <w:jc w:val="right"/>
              <w:ind w:right="612"/>
              <w:spacing w:after="0"/>
              <w:rPr>
                <w:sz w:val="20"/>
                <w:szCs w:val="20"/>
                <w:color w:val="auto"/>
              </w:rPr>
            </w:pPr>
            <w:r>
              <w:rPr>
                <w:rFonts w:ascii="Arial" w:cs="Arial" w:eastAsia="Arial" w:hAnsi="Arial"/>
                <w:sz w:val="18"/>
                <w:szCs w:val="18"/>
                <w:b w:val="1"/>
                <w:bCs w:val="1"/>
                <w:color w:val="auto"/>
              </w:rPr>
              <w:t>Sales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06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Grand Theft Auto: San Andreas</w:t>
            </w:r>
          </w:p>
        </w:tc>
        <w:tc>
          <w:tcPr>
            <w:tcW w:w="276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PS2</w:t>
            </w:r>
          </w:p>
        </w:tc>
        <w:tc>
          <w:tcPr>
            <w:tcW w:w="2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October 2004</w:t>
            </w:r>
          </w:p>
        </w:tc>
        <w:tc>
          <w:tcPr>
            <w:tcW w:w="210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Grand Theft Auto Double Pack</w:t>
            </w:r>
          </w:p>
        </w:tc>
        <w:tc>
          <w:tcPr>
            <w:tcW w:w="2760" w:type="dxa"/>
            <w:vAlign w:val="bottom"/>
          </w:tcPr>
          <w:p>
            <w:pPr>
              <w:ind w:left="1400"/>
              <w:spacing w:after="0"/>
              <w:rPr>
                <w:sz w:val="20"/>
                <w:szCs w:val="20"/>
                <w:color w:val="auto"/>
              </w:rPr>
            </w:pPr>
            <w:r>
              <w:rPr>
                <w:rFonts w:ascii="Arial" w:cs="Arial" w:eastAsia="Arial" w:hAnsi="Arial"/>
                <w:sz w:val="18"/>
                <w:szCs w:val="18"/>
                <w:color w:val="auto"/>
              </w:rPr>
              <w:t>Xbox</w:t>
            </w:r>
          </w:p>
        </w:tc>
        <w:tc>
          <w:tcPr>
            <w:tcW w:w="2500" w:type="dxa"/>
            <w:vAlign w:val="bottom"/>
          </w:tcPr>
          <w:p>
            <w:pPr>
              <w:ind w:left="340"/>
              <w:spacing w:after="0"/>
              <w:rPr>
                <w:sz w:val="20"/>
                <w:szCs w:val="20"/>
                <w:color w:val="auto"/>
              </w:rPr>
            </w:pPr>
            <w:r>
              <w:rPr>
                <w:rFonts w:ascii="Arial" w:cs="Arial" w:eastAsia="Arial" w:hAnsi="Arial"/>
                <w:sz w:val="18"/>
                <w:szCs w:val="18"/>
                <w:color w:val="auto"/>
              </w:rPr>
              <w:t>November 2003</w:t>
            </w:r>
          </w:p>
        </w:tc>
        <w:tc>
          <w:tcPr>
            <w:tcW w:w="2100" w:type="dxa"/>
            <w:vAlign w:val="bottom"/>
          </w:tcPr>
          <w:p>
            <w:pPr>
              <w:jc w:val="right"/>
              <w:ind w:right="552"/>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Grand Theft Auto: Vice City</w:t>
            </w:r>
          </w:p>
        </w:tc>
        <w:tc>
          <w:tcPr>
            <w:tcW w:w="276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PS2</w:t>
            </w:r>
          </w:p>
        </w:tc>
        <w:tc>
          <w:tcPr>
            <w:tcW w:w="2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October 2002</w:t>
            </w:r>
          </w:p>
        </w:tc>
        <w:tc>
          <w:tcPr>
            <w:tcW w:w="210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Max Payne 2: The Fall of Max Payne</w:t>
            </w:r>
          </w:p>
        </w:tc>
        <w:tc>
          <w:tcPr>
            <w:tcW w:w="2760" w:type="dxa"/>
            <w:vAlign w:val="bottom"/>
          </w:tcPr>
          <w:p>
            <w:pPr>
              <w:ind w:left="1400"/>
              <w:spacing w:after="0"/>
              <w:rPr>
                <w:sz w:val="20"/>
                <w:szCs w:val="20"/>
                <w:color w:val="auto"/>
              </w:rPr>
            </w:pPr>
            <w:r>
              <w:rPr>
                <w:rFonts w:ascii="Arial" w:cs="Arial" w:eastAsia="Arial" w:hAnsi="Arial"/>
                <w:sz w:val="18"/>
                <w:szCs w:val="18"/>
                <w:color w:val="auto"/>
              </w:rPr>
              <w:t>PS2</w:t>
            </w:r>
          </w:p>
        </w:tc>
        <w:tc>
          <w:tcPr>
            <w:tcW w:w="2500" w:type="dxa"/>
            <w:vAlign w:val="bottom"/>
          </w:tcPr>
          <w:p>
            <w:pPr>
              <w:ind w:left="340"/>
              <w:spacing w:after="0"/>
              <w:rPr>
                <w:sz w:val="20"/>
                <w:szCs w:val="20"/>
                <w:color w:val="auto"/>
              </w:rPr>
            </w:pPr>
            <w:r>
              <w:rPr>
                <w:rFonts w:ascii="Arial" w:cs="Arial" w:eastAsia="Arial" w:hAnsi="Arial"/>
                <w:sz w:val="18"/>
                <w:szCs w:val="18"/>
                <w:color w:val="auto"/>
              </w:rPr>
              <w:t>December 2003</w:t>
            </w:r>
          </w:p>
        </w:tc>
        <w:tc>
          <w:tcPr>
            <w:tcW w:w="2100" w:type="dxa"/>
            <w:vAlign w:val="bottom"/>
          </w:tcPr>
          <w:p>
            <w:pPr>
              <w:jc w:val="right"/>
              <w:ind w:right="552"/>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Manhunt</w:t>
            </w:r>
          </w:p>
        </w:tc>
        <w:tc>
          <w:tcPr>
            <w:tcW w:w="276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PS2</w:t>
            </w:r>
          </w:p>
        </w:tc>
        <w:tc>
          <w:tcPr>
            <w:tcW w:w="2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November 2003</w:t>
            </w:r>
          </w:p>
        </w:tc>
        <w:tc>
          <w:tcPr>
            <w:tcW w:w="210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Red Dead Revolver</w:t>
            </w:r>
          </w:p>
        </w:tc>
        <w:tc>
          <w:tcPr>
            <w:tcW w:w="2760" w:type="dxa"/>
            <w:vAlign w:val="bottom"/>
          </w:tcPr>
          <w:p>
            <w:pPr>
              <w:ind w:left="1400"/>
              <w:spacing w:after="0"/>
              <w:rPr>
                <w:sz w:val="20"/>
                <w:szCs w:val="20"/>
                <w:color w:val="auto"/>
              </w:rPr>
            </w:pPr>
            <w:r>
              <w:rPr>
                <w:rFonts w:ascii="Arial" w:cs="Arial" w:eastAsia="Arial" w:hAnsi="Arial"/>
                <w:sz w:val="18"/>
                <w:szCs w:val="18"/>
                <w:color w:val="auto"/>
              </w:rPr>
              <w:t>PS2</w:t>
            </w:r>
          </w:p>
        </w:tc>
        <w:tc>
          <w:tcPr>
            <w:tcW w:w="2500" w:type="dxa"/>
            <w:vAlign w:val="bottom"/>
          </w:tcPr>
          <w:p>
            <w:pPr>
              <w:ind w:left="340"/>
              <w:spacing w:after="0"/>
              <w:rPr>
                <w:sz w:val="20"/>
                <w:szCs w:val="20"/>
                <w:color w:val="auto"/>
              </w:rPr>
            </w:pPr>
            <w:r>
              <w:rPr>
                <w:rFonts w:ascii="Arial" w:cs="Arial" w:eastAsia="Arial" w:hAnsi="Arial"/>
                <w:sz w:val="18"/>
                <w:szCs w:val="18"/>
                <w:color w:val="auto"/>
              </w:rPr>
              <w:t>April 2004</w:t>
            </w:r>
          </w:p>
        </w:tc>
        <w:tc>
          <w:tcPr>
            <w:tcW w:w="2100" w:type="dxa"/>
            <w:vAlign w:val="bottom"/>
          </w:tcPr>
          <w:p>
            <w:pPr>
              <w:jc w:val="right"/>
              <w:ind w:right="552"/>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Mafia</w:t>
            </w:r>
          </w:p>
        </w:tc>
        <w:tc>
          <w:tcPr>
            <w:tcW w:w="276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PS2</w:t>
            </w:r>
          </w:p>
        </w:tc>
        <w:tc>
          <w:tcPr>
            <w:tcW w:w="2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January 2004</w:t>
            </w:r>
          </w:p>
        </w:tc>
        <w:tc>
          <w:tcPr>
            <w:tcW w:w="210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ESPN NFL 2K5</w:t>
            </w:r>
          </w:p>
        </w:tc>
        <w:tc>
          <w:tcPr>
            <w:tcW w:w="2760" w:type="dxa"/>
            <w:vAlign w:val="bottom"/>
          </w:tcPr>
          <w:p>
            <w:pPr>
              <w:ind w:left="1400"/>
              <w:spacing w:after="0"/>
              <w:rPr>
                <w:sz w:val="20"/>
                <w:szCs w:val="20"/>
                <w:color w:val="auto"/>
              </w:rPr>
            </w:pPr>
            <w:r>
              <w:rPr>
                <w:rFonts w:ascii="Arial" w:cs="Arial" w:eastAsia="Arial" w:hAnsi="Arial"/>
                <w:sz w:val="18"/>
                <w:szCs w:val="18"/>
                <w:color w:val="auto"/>
              </w:rPr>
              <w:t>PS2</w:t>
            </w:r>
          </w:p>
        </w:tc>
        <w:tc>
          <w:tcPr>
            <w:tcW w:w="2500" w:type="dxa"/>
            <w:vAlign w:val="bottom"/>
          </w:tcPr>
          <w:p>
            <w:pPr>
              <w:ind w:left="340"/>
              <w:spacing w:after="0"/>
              <w:rPr>
                <w:sz w:val="20"/>
                <w:szCs w:val="20"/>
                <w:color w:val="auto"/>
              </w:rPr>
            </w:pPr>
            <w:r>
              <w:rPr>
                <w:rFonts w:ascii="Arial" w:cs="Arial" w:eastAsia="Arial" w:hAnsi="Arial"/>
                <w:sz w:val="18"/>
                <w:szCs w:val="18"/>
                <w:color w:val="auto"/>
              </w:rPr>
              <w:t>July 2004</w:t>
            </w:r>
          </w:p>
        </w:tc>
        <w:tc>
          <w:tcPr>
            <w:tcW w:w="2100" w:type="dxa"/>
            <w:vAlign w:val="bottom"/>
          </w:tcPr>
          <w:p>
            <w:pPr>
              <w:jc w:val="right"/>
              <w:ind w:right="552"/>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Max Payne 2: The Fall of Max Payne</w:t>
            </w:r>
          </w:p>
        </w:tc>
        <w:tc>
          <w:tcPr>
            <w:tcW w:w="276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Xbox</w:t>
            </w:r>
          </w:p>
        </w:tc>
        <w:tc>
          <w:tcPr>
            <w:tcW w:w="2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November 2003</w:t>
            </w:r>
          </w:p>
        </w:tc>
        <w:tc>
          <w:tcPr>
            <w:tcW w:w="210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Grand Theft Auto Double Pack</w:t>
            </w:r>
          </w:p>
        </w:tc>
        <w:tc>
          <w:tcPr>
            <w:tcW w:w="2760" w:type="dxa"/>
            <w:vAlign w:val="bottom"/>
          </w:tcPr>
          <w:p>
            <w:pPr>
              <w:ind w:left="1400"/>
              <w:spacing w:after="0"/>
              <w:rPr>
                <w:sz w:val="20"/>
                <w:szCs w:val="20"/>
                <w:color w:val="auto"/>
              </w:rPr>
            </w:pPr>
            <w:r>
              <w:rPr>
                <w:rFonts w:ascii="Arial" w:cs="Arial" w:eastAsia="Arial" w:hAnsi="Arial"/>
                <w:sz w:val="18"/>
                <w:szCs w:val="18"/>
                <w:color w:val="auto"/>
              </w:rPr>
              <w:t>PS2</w:t>
            </w:r>
          </w:p>
        </w:tc>
        <w:tc>
          <w:tcPr>
            <w:tcW w:w="2500" w:type="dxa"/>
            <w:vAlign w:val="bottom"/>
          </w:tcPr>
          <w:p>
            <w:pPr>
              <w:ind w:left="340"/>
              <w:spacing w:after="0"/>
              <w:rPr>
                <w:sz w:val="20"/>
                <w:szCs w:val="20"/>
                <w:color w:val="auto"/>
              </w:rPr>
            </w:pPr>
            <w:r>
              <w:rPr>
                <w:rFonts w:ascii="Arial" w:cs="Arial" w:eastAsia="Arial" w:hAnsi="Arial"/>
                <w:sz w:val="18"/>
                <w:szCs w:val="18"/>
                <w:color w:val="auto"/>
              </w:rPr>
              <w:t>October 2003</w:t>
            </w:r>
          </w:p>
        </w:tc>
        <w:tc>
          <w:tcPr>
            <w:tcW w:w="2100" w:type="dxa"/>
            <w:vAlign w:val="bottom"/>
          </w:tcPr>
          <w:p>
            <w:pPr>
              <w:jc w:val="right"/>
              <w:ind w:right="552"/>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000" w:type="dxa"/>
            <w:vAlign w:val="bottom"/>
            <w:tcBorders>
              <w:bottom w:val="single" w:sz="8" w:color="808080"/>
            </w:tcBorders>
            <w:gridSpan w:val="2"/>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Top 10 Titles – 2003</w:t>
            </w:r>
          </w:p>
        </w:tc>
        <w:tc>
          <w:tcPr>
            <w:tcW w:w="2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Grand Theft Auto: Vice City</w:t>
            </w:r>
          </w:p>
        </w:tc>
        <w:tc>
          <w:tcPr>
            <w:tcW w:w="276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PS2</w:t>
            </w:r>
          </w:p>
        </w:tc>
        <w:tc>
          <w:tcPr>
            <w:tcW w:w="2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October 2002</w:t>
            </w:r>
          </w:p>
        </w:tc>
        <w:tc>
          <w:tcPr>
            <w:tcW w:w="210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Midnight Club 2</w:t>
            </w:r>
          </w:p>
        </w:tc>
        <w:tc>
          <w:tcPr>
            <w:tcW w:w="2760" w:type="dxa"/>
            <w:vAlign w:val="bottom"/>
          </w:tcPr>
          <w:p>
            <w:pPr>
              <w:ind w:left="1400"/>
              <w:spacing w:after="0"/>
              <w:rPr>
                <w:sz w:val="20"/>
                <w:szCs w:val="20"/>
                <w:color w:val="auto"/>
              </w:rPr>
            </w:pPr>
            <w:r>
              <w:rPr>
                <w:rFonts w:ascii="Arial" w:cs="Arial" w:eastAsia="Arial" w:hAnsi="Arial"/>
                <w:sz w:val="18"/>
                <w:szCs w:val="18"/>
                <w:color w:val="auto"/>
              </w:rPr>
              <w:t>PS2</w:t>
            </w:r>
          </w:p>
        </w:tc>
        <w:tc>
          <w:tcPr>
            <w:tcW w:w="2500" w:type="dxa"/>
            <w:vAlign w:val="bottom"/>
          </w:tcPr>
          <w:p>
            <w:pPr>
              <w:ind w:left="340"/>
              <w:spacing w:after="0"/>
              <w:rPr>
                <w:sz w:val="20"/>
                <w:szCs w:val="20"/>
                <w:color w:val="auto"/>
              </w:rPr>
            </w:pPr>
            <w:r>
              <w:rPr>
                <w:rFonts w:ascii="Arial" w:cs="Arial" w:eastAsia="Arial" w:hAnsi="Arial"/>
                <w:sz w:val="18"/>
                <w:szCs w:val="18"/>
                <w:color w:val="auto"/>
              </w:rPr>
              <w:t>April 2003</w:t>
            </w:r>
          </w:p>
        </w:tc>
        <w:tc>
          <w:tcPr>
            <w:tcW w:w="2100" w:type="dxa"/>
            <w:vAlign w:val="bottom"/>
          </w:tcPr>
          <w:p>
            <w:pPr>
              <w:jc w:val="right"/>
              <w:ind w:right="552"/>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Grand Theft Auto: Vice City</w:t>
            </w:r>
          </w:p>
        </w:tc>
        <w:tc>
          <w:tcPr>
            <w:tcW w:w="276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PC</w:t>
            </w:r>
          </w:p>
        </w:tc>
        <w:tc>
          <w:tcPr>
            <w:tcW w:w="2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May 2003</w:t>
            </w:r>
          </w:p>
        </w:tc>
        <w:tc>
          <w:tcPr>
            <w:tcW w:w="210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Grand Theft Auto 3</w:t>
            </w:r>
          </w:p>
        </w:tc>
        <w:tc>
          <w:tcPr>
            <w:tcW w:w="2760" w:type="dxa"/>
            <w:vAlign w:val="bottom"/>
          </w:tcPr>
          <w:p>
            <w:pPr>
              <w:ind w:left="1400"/>
              <w:spacing w:after="0"/>
              <w:rPr>
                <w:sz w:val="20"/>
                <w:szCs w:val="20"/>
                <w:color w:val="auto"/>
              </w:rPr>
            </w:pPr>
            <w:r>
              <w:rPr>
                <w:rFonts w:ascii="Arial" w:cs="Arial" w:eastAsia="Arial" w:hAnsi="Arial"/>
                <w:sz w:val="18"/>
                <w:szCs w:val="18"/>
                <w:color w:val="auto"/>
              </w:rPr>
              <w:t>PS2</w:t>
            </w:r>
          </w:p>
        </w:tc>
        <w:tc>
          <w:tcPr>
            <w:tcW w:w="2500" w:type="dxa"/>
            <w:vAlign w:val="bottom"/>
          </w:tcPr>
          <w:p>
            <w:pPr>
              <w:ind w:left="340"/>
              <w:spacing w:after="0"/>
              <w:rPr>
                <w:sz w:val="20"/>
                <w:szCs w:val="20"/>
                <w:color w:val="auto"/>
              </w:rPr>
            </w:pPr>
            <w:r>
              <w:rPr>
                <w:rFonts w:ascii="Arial" w:cs="Arial" w:eastAsia="Arial" w:hAnsi="Arial"/>
                <w:sz w:val="18"/>
                <w:szCs w:val="18"/>
                <w:color w:val="auto"/>
              </w:rPr>
              <w:t>October 2001</w:t>
            </w:r>
          </w:p>
        </w:tc>
        <w:tc>
          <w:tcPr>
            <w:tcW w:w="2100" w:type="dxa"/>
            <w:vAlign w:val="bottom"/>
          </w:tcPr>
          <w:p>
            <w:pPr>
              <w:jc w:val="right"/>
              <w:ind w:right="552"/>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Max Payne 2: The Fall of Max Payne</w:t>
            </w:r>
          </w:p>
        </w:tc>
        <w:tc>
          <w:tcPr>
            <w:tcW w:w="276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PC</w:t>
            </w:r>
          </w:p>
        </w:tc>
        <w:tc>
          <w:tcPr>
            <w:tcW w:w="2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October 2003</w:t>
            </w:r>
          </w:p>
        </w:tc>
        <w:tc>
          <w:tcPr>
            <w:tcW w:w="210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Grand Theft Auto Double Pack</w:t>
            </w:r>
          </w:p>
        </w:tc>
        <w:tc>
          <w:tcPr>
            <w:tcW w:w="2760" w:type="dxa"/>
            <w:vAlign w:val="bottom"/>
          </w:tcPr>
          <w:p>
            <w:pPr>
              <w:ind w:left="1400"/>
              <w:spacing w:after="0"/>
              <w:rPr>
                <w:sz w:val="20"/>
                <w:szCs w:val="20"/>
                <w:color w:val="auto"/>
              </w:rPr>
            </w:pPr>
            <w:r>
              <w:rPr>
                <w:rFonts w:ascii="Arial" w:cs="Arial" w:eastAsia="Arial" w:hAnsi="Arial"/>
                <w:sz w:val="18"/>
                <w:szCs w:val="18"/>
                <w:color w:val="auto"/>
              </w:rPr>
              <w:t>PS2</w:t>
            </w:r>
          </w:p>
        </w:tc>
        <w:tc>
          <w:tcPr>
            <w:tcW w:w="2500" w:type="dxa"/>
            <w:vAlign w:val="bottom"/>
          </w:tcPr>
          <w:p>
            <w:pPr>
              <w:ind w:left="340"/>
              <w:spacing w:after="0"/>
              <w:rPr>
                <w:sz w:val="20"/>
                <w:szCs w:val="20"/>
                <w:color w:val="auto"/>
              </w:rPr>
            </w:pPr>
            <w:r>
              <w:rPr>
                <w:rFonts w:ascii="Arial" w:cs="Arial" w:eastAsia="Arial" w:hAnsi="Arial"/>
                <w:sz w:val="18"/>
                <w:szCs w:val="18"/>
                <w:color w:val="auto"/>
              </w:rPr>
              <w:t>October 2003</w:t>
            </w:r>
          </w:p>
        </w:tc>
        <w:tc>
          <w:tcPr>
            <w:tcW w:w="2100" w:type="dxa"/>
            <w:vAlign w:val="bottom"/>
          </w:tcPr>
          <w:p>
            <w:pPr>
              <w:jc w:val="right"/>
              <w:ind w:right="552"/>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Midnight Club 2</w:t>
            </w:r>
          </w:p>
        </w:tc>
        <w:tc>
          <w:tcPr>
            <w:tcW w:w="276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Xbox</w:t>
            </w:r>
          </w:p>
        </w:tc>
        <w:tc>
          <w:tcPr>
            <w:tcW w:w="2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June 2003</w:t>
            </w:r>
          </w:p>
        </w:tc>
        <w:tc>
          <w:tcPr>
            <w:tcW w:w="210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Conflict: Desert Storm</w:t>
            </w:r>
          </w:p>
        </w:tc>
        <w:tc>
          <w:tcPr>
            <w:tcW w:w="2760" w:type="dxa"/>
            <w:vAlign w:val="bottom"/>
          </w:tcPr>
          <w:p>
            <w:pPr>
              <w:ind w:left="1400"/>
              <w:spacing w:after="0"/>
              <w:rPr>
                <w:sz w:val="20"/>
                <w:szCs w:val="20"/>
                <w:color w:val="auto"/>
              </w:rPr>
            </w:pPr>
            <w:r>
              <w:rPr>
                <w:rFonts w:ascii="Arial" w:cs="Arial" w:eastAsia="Arial" w:hAnsi="Arial"/>
                <w:sz w:val="18"/>
                <w:szCs w:val="18"/>
                <w:color w:val="auto"/>
              </w:rPr>
              <w:t>PS2</w:t>
            </w:r>
          </w:p>
        </w:tc>
        <w:tc>
          <w:tcPr>
            <w:tcW w:w="2500" w:type="dxa"/>
            <w:vAlign w:val="bottom"/>
          </w:tcPr>
          <w:p>
            <w:pPr>
              <w:ind w:left="340"/>
              <w:spacing w:after="0"/>
              <w:rPr>
                <w:sz w:val="20"/>
                <w:szCs w:val="20"/>
                <w:color w:val="auto"/>
              </w:rPr>
            </w:pPr>
            <w:r>
              <w:rPr>
                <w:rFonts w:ascii="Arial" w:cs="Arial" w:eastAsia="Arial" w:hAnsi="Arial"/>
                <w:sz w:val="18"/>
                <w:szCs w:val="18"/>
                <w:color w:val="auto"/>
              </w:rPr>
              <w:t>September 2002</w:t>
            </w:r>
          </w:p>
        </w:tc>
        <w:tc>
          <w:tcPr>
            <w:tcW w:w="2100" w:type="dxa"/>
            <w:vAlign w:val="bottom"/>
          </w:tcPr>
          <w:p>
            <w:pPr>
              <w:jc w:val="right"/>
              <w:ind w:right="552"/>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Max Payne</w:t>
            </w:r>
          </w:p>
        </w:tc>
        <w:tc>
          <w:tcPr>
            <w:tcW w:w="276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PS2</w:t>
            </w:r>
          </w:p>
        </w:tc>
        <w:tc>
          <w:tcPr>
            <w:tcW w:w="2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December 2001</w:t>
            </w:r>
          </w:p>
        </w:tc>
        <w:tc>
          <w:tcPr>
            <w:tcW w:w="210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Vietcong</w:t>
            </w:r>
          </w:p>
        </w:tc>
        <w:tc>
          <w:tcPr>
            <w:tcW w:w="2760" w:type="dxa"/>
            <w:vAlign w:val="bottom"/>
          </w:tcPr>
          <w:p>
            <w:pPr>
              <w:ind w:left="1400"/>
              <w:spacing w:after="0"/>
              <w:rPr>
                <w:sz w:val="20"/>
                <w:szCs w:val="20"/>
                <w:color w:val="auto"/>
              </w:rPr>
            </w:pPr>
            <w:r>
              <w:rPr>
                <w:rFonts w:ascii="Arial" w:cs="Arial" w:eastAsia="Arial" w:hAnsi="Arial"/>
                <w:sz w:val="18"/>
                <w:szCs w:val="18"/>
                <w:color w:val="auto"/>
              </w:rPr>
              <w:t>PC</w:t>
            </w:r>
          </w:p>
        </w:tc>
        <w:tc>
          <w:tcPr>
            <w:tcW w:w="2500" w:type="dxa"/>
            <w:vAlign w:val="bottom"/>
          </w:tcPr>
          <w:p>
            <w:pPr>
              <w:ind w:left="340"/>
              <w:spacing w:after="0"/>
              <w:rPr>
                <w:sz w:val="20"/>
                <w:szCs w:val="20"/>
                <w:color w:val="auto"/>
              </w:rPr>
            </w:pPr>
            <w:r>
              <w:rPr>
                <w:rFonts w:ascii="Arial" w:cs="Arial" w:eastAsia="Arial" w:hAnsi="Arial"/>
                <w:sz w:val="18"/>
                <w:szCs w:val="18"/>
                <w:color w:val="auto"/>
              </w:rPr>
              <w:t>March 2003</w:t>
            </w:r>
          </w:p>
        </w:tc>
        <w:tc>
          <w:tcPr>
            <w:tcW w:w="2100" w:type="dxa"/>
            <w:vAlign w:val="bottom"/>
          </w:tcPr>
          <w:p>
            <w:pPr>
              <w:jc w:val="right"/>
              <w:ind w:right="552"/>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000" w:type="dxa"/>
            <w:vAlign w:val="bottom"/>
            <w:tcBorders>
              <w:bottom w:val="single" w:sz="8" w:color="808080"/>
            </w:tcBorders>
            <w:gridSpan w:val="2"/>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Top 10 Titles – 2002</w:t>
            </w:r>
          </w:p>
        </w:tc>
        <w:tc>
          <w:tcPr>
            <w:tcW w:w="2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Grand Theft Auto 3</w:t>
            </w:r>
          </w:p>
        </w:tc>
        <w:tc>
          <w:tcPr>
            <w:tcW w:w="276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PS2</w:t>
            </w:r>
          </w:p>
        </w:tc>
        <w:tc>
          <w:tcPr>
            <w:tcW w:w="2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October 2001</w:t>
            </w:r>
          </w:p>
        </w:tc>
        <w:tc>
          <w:tcPr>
            <w:tcW w:w="210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Grand Theft Auto: Vice City</w:t>
            </w:r>
          </w:p>
        </w:tc>
        <w:tc>
          <w:tcPr>
            <w:tcW w:w="2760" w:type="dxa"/>
            <w:vAlign w:val="bottom"/>
          </w:tcPr>
          <w:p>
            <w:pPr>
              <w:ind w:left="1400"/>
              <w:spacing w:after="0"/>
              <w:rPr>
                <w:sz w:val="20"/>
                <w:szCs w:val="20"/>
                <w:color w:val="auto"/>
              </w:rPr>
            </w:pPr>
            <w:r>
              <w:rPr>
                <w:rFonts w:ascii="Arial" w:cs="Arial" w:eastAsia="Arial" w:hAnsi="Arial"/>
                <w:sz w:val="18"/>
                <w:szCs w:val="18"/>
                <w:color w:val="auto"/>
              </w:rPr>
              <w:t>PS2</w:t>
            </w:r>
          </w:p>
        </w:tc>
        <w:tc>
          <w:tcPr>
            <w:tcW w:w="2500" w:type="dxa"/>
            <w:vAlign w:val="bottom"/>
          </w:tcPr>
          <w:p>
            <w:pPr>
              <w:ind w:left="340"/>
              <w:spacing w:after="0"/>
              <w:rPr>
                <w:sz w:val="20"/>
                <w:szCs w:val="20"/>
                <w:color w:val="auto"/>
              </w:rPr>
            </w:pPr>
            <w:r>
              <w:rPr>
                <w:rFonts w:ascii="Arial" w:cs="Arial" w:eastAsia="Arial" w:hAnsi="Arial"/>
                <w:sz w:val="18"/>
                <w:szCs w:val="18"/>
                <w:color w:val="auto"/>
              </w:rPr>
              <w:t>October 2002</w:t>
            </w:r>
          </w:p>
        </w:tc>
        <w:tc>
          <w:tcPr>
            <w:tcW w:w="2100" w:type="dxa"/>
            <w:vAlign w:val="bottom"/>
          </w:tcPr>
          <w:p>
            <w:pPr>
              <w:jc w:val="right"/>
              <w:ind w:right="552"/>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Max Payne</w:t>
            </w:r>
          </w:p>
        </w:tc>
        <w:tc>
          <w:tcPr>
            <w:tcW w:w="276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PS2</w:t>
            </w:r>
          </w:p>
        </w:tc>
        <w:tc>
          <w:tcPr>
            <w:tcW w:w="2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December 2001</w:t>
            </w:r>
          </w:p>
        </w:tc>
        <w:tc>
          <w:tcPr>
            <w:tcW w:w="210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State of Emergency</w:t>
            </w:r>
          </w:p>
        </w:tc>
        <w:tc>
          <w:tcPr>
            <w:tcW w:w="2760" w:type="dxa"/>
            <w:vAlign w:val="bottom"/>
          </w:tcPr>
          <w:p>
            <w:pPr>
              <w:ind w:left="1400"/>
              <w:spacing w:after="0"/>
              <w:rPr>
                <w:sz w:val="20"/>
                <w:szCs w:val="20"/>
                <w:color w:val="auto"/>
              </w:rPr>
            </w:pPr>
            <w:r>
              <w:rPr>
                <w:rFonts w:ascii="Arial" w:cs="Arial" w:eastAsia="Arial" w:hAnsi="Arial"/>
                <w:sz w:val="18"/>
                <w:szCs w:val="18"/>
                <w:color w:val="auto"/>
              </w:rPr>
              <w:t>PS2</w:t>
            </w:r>
          </w:p>
        </w:tc>
        <w:tc>
          <w:tcPr>
            <w:tcW w:w="2500" w:type="dxa"/>
            <w:vAlign w:val="bottom"/>
          </w:tcPr>
          <w:p>
            <w:pPr>
              <w:ind w:left="340"/>
              <w:spacing w:after="0"/>
              <w:rPr>
                <w:sz w:val="20"/>
                <w:szCs w:val="20"/>
                <w:color w:val="auto"/>
              </w:rPr>
            </w:pPr>
            <w:r>
              <w:rPr>
                <w:rFonts w:ascii="Arial" w:cs="Arial" w:eastAsia="Arial" w:hAnsi="Arial"/>
                <w:sz w:val="18"/>
                <w:szCs w:val="18"/>
                <w:color w:val="auto"/>
              </w:rPr>
              <w:t>February 2002</w:t>
            </w:r>
          </w:p>
        </w:tc>
        <w:tc>
          <w:tcPr>
            <w:tcW w:w="2100" w:type="dxa"/>
            <w:vAlign w:val="bottom"/>
          </w:tcPr>
          <w:p>
            <w:pPr>
              <w:jc w:val="right"/>
              <w:ind w:right="552"/>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Grand Theft Auto 3</w:t>
            </w:r>
          </w:p>
        </w:tc>
        <w:tc>
          <w:tcPr>
            <w:tcW w:w="276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PC</w:t>
            </w:r>
          </w:p>
        </w:tc>
        <w:tc>
          <w:tcPr>
            <w:tcW w:w="2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May 2002</w:t>
            </w:r>
          </w:p>
        </w:tc>
        <w:tc>
          <w:tcPr>
            <w:tcW w:w="210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Max Payne</w:t>
            </w:r>
          </w:p>
        </w:tc>
        <w:tc>
          <w:tcPr>
            <w:tcW w:w="2760" w:type="dxa"/>
            <w:vAlign w:val="bottom"/>
          </w:tcPr>
          <w:p>
            <w:pPr>
              <w:ind w:left="1400"/>
              <w:spacing w:after="0"/>
              <w:rPr>
                <w:sz w:val="20"/>
                <w:szCs w:val="20"/>
                <w:color w:val="auto"/>
              </w:rPr>
            </w:pPr>
            <w:r>
              <w:rPr>
                <w:rFonts w:ascii="Arial" w:cs="Arial" w:eastAsia="Arial" w:hAnsi="Arial"/>
                <w:sz w:val="18"/>
                <w:szCs w:val="18"/>
                <w:color w:val="auto"/>
              </w:rPr>
              <w:t>Xbox</w:t>
            </w:r>
          </w:p>
        </w:tc>
        <w:tc>
          <w:tcPr>
            <w:tcW w:w="2500" w:type="dxa"/>
            <w:vAlign w:val="bottom"/>
          </w:tcPr>
          <w:p>
            <w:pPr>
              <w:ind w:left="340"/>
              <w:spacing w:after="0"/>
              <w:rPr>
                <w:sz w:val="20"/>
                <w:szCs w:val="20"/>
                <w:color w:val="auto"/>
              </w:rPr>
            </w:pPr>
            <w:r>
              <w:rPr>
                <w:rFonts w:ascii="Arial" w:cs="Arial" w:eastAsia="Arial" w:hAnsi="Arial"/>
                <w:sz w:val="18"/>
                <w:szCs w:val="18"/>
                <w:color w:val="auto"/>
              </w:rPr>
              <w:t>December 2001</w:t>
            </w:r>
          </w:p>
        </w:tc>
        <w:tc>
          <w:tcPr>
            <w:tcW w:w="2100" w:type="dxa"/>
            <w:vAlign w:val="bottom"/>
          </w:tcPr>
          <w:p>
            <w:pPr>
              <w:jc w:val="right"/>
              <w:ind w:right="552"/>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Mafia</w:t>
            </w:r>
          </w:p>
        </w:tc>
        <w:tc>
          <w:tcPr>
            <w:tcW w:w="276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PC</w:t>
            </w:r>
          </w:p>
        </w:tc>
        <w:tc>
          <w:tcPr>
            <w:tcW w:w="2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August 2002</w:t>
            </w:r>
          </w:p>
        </w:tc>
        <w:tc>
          <w:tcPr>
            <w:tcW w:w="210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Stronghold</w:t>
            </w:r>
          </w:p>
        </w:tc>
        <w:tc>
          <w:tcPr>
            <w:tcW w:w="2760" w:type="dxa"/>
            <w:vAlign w:val="bottom"/>
          </w:tcPr>
          <w:p>
            <w:pPr>
              <w:ind w:left="1400"/>
              <w:spacing w:after="0"/>
              <w:rPr>
                <w:sz w:val="20"/>
                <w:szCs w:val="20"/>
                <w:color w:val="auto"/>
              </w:rPr>
            </w:pPr>
            <w:r>
              <w:rPr>
                <w:rFonts w:ascii="Arial" w:cs="Arial" w:eastAsia="Arial" w:hAnsi="Arial"/>
                <w:sz w:val="18"/>
                <w:szCs w:val="18"/>
                <w:color w:val="auto"/>
              </w:rPr>
              <w:t>PC</w:t>
            </w:r>
          </w:p>
        </w:tc>
        <w:tc>
          <w:tcPr>
            <w:tcW w:w="2500" w:type="dxa"/>
            <w:vAlign w:val="bottom"/>
          </w:tcPr>
          <w:p>
            <w:pPr>
              <w:ind w:left="340"/>
              <w:spacing w:after="0"/>
              <w:rPr>
                <w:sz w:val="20"/>
                <w:szCs w:val="20"/>
                <w:color w:val="auto"/>
              </w:rPr>
            </w:pPr>
            <w:r>
              <w:rPr>
                <w:rFonts w:ascii="Arial" w:cs="Arial" w:eastAsia="Arial" w:hAnsi="Arial"/>
                <w:sz w:val="18"/>
                <w:szCs w:val="18"/>
                <w:color w:val="auto"/>
              </w:rPr>
              <w:t>October 2001</w:t>
            </w:r>
          </w:p>
        </w:tc>
        <w:tc>
          <w:tcPr>
            <w:tcW w:w="2100" w:type="dxa"/>
            <w:vAlign w:val="bottom"/>
          </w:tcPr>
          <w:p>
            <w:pPr>
              <w:jc w:val="right"/>
              <w:ind w:right="552"/>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Midnight Club</w:t>
            </w:r>
          </w:p>
        </w:tc>
        <w:tc>
          <w:tcPr>
            <w:tcW w:w="276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PS2</w:t>
            </w:r>
          </w:p>
        </w:tc>
        <w:tc>
          <w:tcPr>
            <w:tcW w:w="2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October 2000</w:t>
            </w:r>
          </w:p>
        </w:tc>
        <w:tc>
          <w:tcPr>
            <w:tcW w:w="2100" w:type="dxa"/>
            <w:vAlign w:val="bottom"/>
            <w:tcBorders>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Stronghold Crusader</w:t>
            </w:r>
          </w:p>
        </w:tc>
        <w:tc>
          <w:tcPr>
            <w:tcW w:w="2760" w:type="dxa"/>
            <w:vAlign w:val="bottom"/>
          </w:tcPr>
          <w:p>
            <w:pPr>
              <w:ind w:left="1400"/>
              <w:spacing w:after="0"/>
              <w:rPr>
                <w:sz w:val="20"/>
                <w:szCs w:val="20"/>
                <w:color w:val="auto"/>
              </w:rPr>
            </w:pPr>
            <w:r>
              <w:rPr>
                <w:rFonts w:ascii="Arial" w:cs="Arial" w:eastAsia="Arial" w:hAnsi="Arial"/>
                <w:sz w:val="18"/>
                <w:szCs w:val="18"/>
                <w:color w:val="auto"/>
              </w:rPr>
              <w:t>PC</w:t>
            </w:r>
          </w:p>
        </w:tc>
        <w:tc>
          <w:tcPr>
            <w:tcW w:w="2500" w:type="dxa"/>
            <w:vAlign w:val="bottom"/>
          </w:tcPr>
          <w:p>
            <w:pPr>
              <w:ind w:left="340"/>
              <w:spacing w:after="0"/>
              <w:rPr>
                <w:sz w:val="20"/>
                <w:szCs w:val="20"/>
                <w:color w:val="auto"/>
              </w:rPr>
            </w:pPr>
            <w:r>
              <w:rPr>
                <w:rFonts w:ascii="Arial" w:cs="Arial" w:eastAsia="Arial" w:hAnsi="Arial"/>
                <w:sz w:val="18"/>
                <w:szCs w:val="18"/>
                <w:color w:val="auto"/>
              </w:rPr>
              <w:t>September 2002</w:t>
            </w:r>
          </w:p>
        </w:tc>
        <w:tc>
          <w:tcPr>
            <w:tcW w:w="2100" w:type="dxa"/>
            <w:vAlign w:val="bottom"/>
          </w:tcPr>
          <w:p>
            <w:pPr>
              <w:jc w:val="right"/>
              <w:ind w:right="55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760" w:type="dxa"/>
            <w:vAlign w:val="bottom"/>
          </w:tcPr>
          <w:p>
            <w:pPr>
              <w:ind w:left="1560"/>
              <w:spacing w:after="0"/>
              <w:rPr>
                <w:sz w:val="20"/>
                <w:szCs w:val="20"/>
                <w:color w:val="auto"/>
              </w:rPr>
            </w:pPr>
            <w:r>
              <w:rPr>
                <w:rFonts w:ascii="Arial" w:cs="Arial" w:eastAsia="Arial" w:hAnsi="Arial"/>
                <w:sz w:val="18"/>
                <w:szCs w:val="18"/>
                <w:color w:val="auto"/>
              </w:rPr>
              <w:t>17</w:t>
            </w:r>
          </w:p>
        </w:tc>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w:t>
      </w:r>
    </w:p>
    <w:p>
      <w:pPr>
        <w:spacing w:after="0" w:line="2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During the three years ended October 31, 2004, we consummated the acquisitions described below, which largely reflects our efforts to continue to add seasoned development studios, intellectual properties and talented personnel resources to our existing internal product development infrastructure. To the extent that the purchase price allocation for these acquisitions is preliminary, we do not expect that the final purchase price allocation will be materially different. With the exception of the acquisition of TDK, the proforma impact of these acquisitions on fiscal 2004 and 2003 was not material.</w:t>
      </w:r>
    </w:p>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Indie. </w:t>
      </w:r>
      <w:r>
        <w:rPr>
          <w:rFonts w:ascii="Arial" w:cs="Arial" w:eastAsia="Arial" w:hAnsi="Arial"/>
          <w:sz w:val="18"/>
          <w:szCs w:val="18"/>
          <w:color w:val="auto"/>
        </w:rPr>
        <w:t>In October 2004, we acquired certain assets from Microsoft, including Indie, the developer of the successful</w:t>
      </w:r>
      <w:r>
        <w:rPr>
          <w:rFonts w:ascii="Arial" w:cs="Arial" w:eastAsia="Arial" w:hAnsi="Arial"/>
          <w:sz w:val="18"/>
          <w:szCs w:val="18"/>
          <w:i w:val="1"/>
          <w:iCs w:val="1"/>
          <w:color w:val="auto"/>
        </w:rPr>
        <w:t xml:space="preserve"> Top Spin </w:t>
      </w:r>
      <w:r>
        <w:rPr>
          <w:rFonts w:ascii="Arial" w:cs="Arial" w:eastAsia="Arial" w:hAnsi="Arial"/>
          <w:sz w:val="18"/>
          <w:szCs w:val="18"/>
          <w:color w:val="auto"/>
        </w:rPr>
        <w:t>(tennis),</w:t>
      </w:r>
      <w:r>
        <w:rPr>
          <w:rFonts w:ascii="Arial" w:cs="Arial" w:eastAsia="Arial" w:hAnsi="Arial"/>
          <w:sz w:val="18"/>
          <w:szCs w:val="18"/>
          <w:i w:val="1"/>
          <w:iCs w:val="1"/>
          <w:color w:val="auto"/>
        </w:rPr>
        <w:t xml:space="preserve"> Amped </w:t>
      </w:r>
      <w:r>
        <w:rPr>
          <w:rFonts w:ascii="Arial" w:cs="Arial" w:eastAsia="Arial" w:hAnsi="Arial"/>
          <w:sz w:val="18"/>
          <w:szCs w:val="18"/>
          <w:color w:val="auto"/>
        </w:rPr>
        <w:t>and</w:t>
      </w:r>
      <w:r>
        <w:rPr>
          <w:rFonts w:ascii="Arial" w:cs="Arial" w:eastAsia="Arial" w:hAnsi="Arial"/>
          <w:sz w:val="18"/>
          <w:szCs w:val="18"/>
          <w:i w:val="1"/>
          <w:iCs w:val="1"/>
          <w:color w:val="auto"/>
        </w:rPr>
        <w:t xml:space="preserve"> Amped 2 </w:t>
      </w:r>
      <w:r>
        <w:rPr>
          <w:rFonts w:ascii="Arial" w:cs="Arial" w:eastAsia="Arial" w:hAnsi="Arial"/>
          <w:sz w:val="18"/>
          <w:szCs w:val="18"/>
          <w:color w:val="auto"/>
        </w:rPr>
        <w:t xml:space="preserve">(snowboarding) and </w:t>
      </w:r>
      <w:r>
        <w:rPr>
          <w:rFonts w:ascii="Arial" w:cs="Arial" w:eastAsia="Arial" w:hAnsi="Arial"/>
          <w:sz w:val="18"/>
          <w:szCs w:val="18"/>
          <w:i w:val="1"/>
          <w:iCs w:val="1"/>
          <w:color w:val="auto"/>
        </w:rPr>
        <w:t>Links</w:t>
      </w:r>
      <w:r>
        <w:rPr>
          <w:rFonts w:ascii="Arial" w:cs="Arial" w:eastAsia="Arial" w:hAnsi="Arial"/>
          <w:sz w:val="18"/>
          <w:szCs w:val="18"/>
          <w:color w:val="auto"/>
        </w:rPr>
        <w:t xml:space="preserve"> (golf) sports games, and the intellectual property rights associated with these products. The purchase price for these assets was $18,500 paid in cash at closing. In connection with the acquisition, we recorded $5,828 in identifiable intangible assets, $11,593 of goodwill, $280 of fixed assets and $829 of accounts receivable, on a preliminary basis.</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Venom</w:t>
      </w:r>
      <w:r>
        <w:rPr>
          <w:rFonts w:ascii="Arial" w:cs="Arial" w:eastAsia="Arial" w:hAnsi="Arial"/>
          <w:sz w:val="18"/>
          <w:szCs w:val="18"/>
          <w:color w:val="auto"/>
        </w:rPr>
        <w:t>. In September 2004, we acquired all the outstanding capital stock of Venom, a UK-based developer of the boxing games</w:t>
      </w:r>
      <w:r>
        <w:rPr>
          <w:rFonts w:ascii="Arial" w:cs="Arial" w:eastAsia="Arial" w:hAnsi="Arial"/>
          <w:sz w:val="18"/>
          <w:szCs w:val="18"/>
          <w:i w:val="1"/>
          <w:iCs w:val="1"/>
          <w:color w:val="auto"/>
        </w:rPr>
        <w:t xml:space="preserve"> Rocky </w:t>
      </w:r>
      <w:r>
        <w:rPr>
          <w:rFonts w:ascii="Arial" w:cs="Arial" w:eastAsia="Arial" w:hAnsi="Arial"/>
          <w:sz w:val="18"/>
          <w:szCs w:val="18"/>
          <w:color w:val="auto"/>
        </w:rPr>
        <w:t>and</w:t>
      </w:r>
      <w:r>
        <w:rPr>
          <w:rFonts w:ascii="Arial" w:cs="Arial" w:eastAsia="Arial" w:hAnsi="Arial"/>
          <w:sz w:val="18"/>
          <w:szCs w:val="18"/>
          <w:i w:val="1"/>
          <w:iCs w:val="1"/>
          <w:color w:val="auto"/>
        </w:rPr>
        <w:t xml:space="preserve"> Rocky Legends</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price was $1,295 paid in cash at closing. In connection with the acquisition, we recorded identifiable intangibles of $750 and goodwill of $626 on a preliminary basis.</w:t>
      </w:r>
    </w:p>
    <w:p>
      <w:pPr>
        <w:spacing w:after="0" w:line="1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Mobius (Rockstar Leeds)</w:t>
      </w:r>
      <w:r>
        <w:rPr>
          <w:rFonts w:ascii="Arial" w:cs="Arial" w:eastAsia="Arial" w:hAnsi="Arial"/>
          <w:sz w:val="18"/>
          <w:szCs w:val="18"/>
          <w:color w:val="auto"/>
        </w:rPr>
        <w:t>. In March 2004, we acquired all the outstanding capital stock of Mobius, a UK-based developer of titles for handheld platforms,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Sony’s PSP platform. The purchase price was approximately $4,549, of which $3,627 was paid in cash at closing and approximately $922 is due March 2005. In connection with the acquisition, we recorded identifiable intangibles of $96 (non-competition agreements) and goodwill of $4,681. We also agreed to make additional contingent payments of approximately $2,000 based on delivery of products, which will be recorded as additional purchase price when the conditions requiring their payment are met.</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TDK</w:t>
      </w:r>
      <w:r>
        <w:rPr>
          <w:rFonts w:ascii="Arial" w:cs="Arial" w:eastAsia="Arial" w:hAnsi="Arial"/>
          <w:sz w:val="18"/>
          <w:szCs w:val="18"/>
          <w:color w:val="auto"/>
        </w:rPr>
        <w:t>. In December 2003, we acquired all of the outstanding capital stock and assumed certain liabilities of TDK Mediactive, Inc. (“TDK”). The purchase price</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$16,827 in cash (which is net of $8,051 previously due to TDK under a distribution agreement) and the issuance of 163,641 shares of restricted stock valued at $5,160. In connection with the acquisition, we recorded identifiable intangibles of $7,690, goodwill of $17,079 and net liabilities of $10,833. The proforma impact of this acquisition on the financial statements in fiscal 2004 was not material as the acquisition was made near the beginning of the year. The proforma impact on fiscal 2003 reduced net income by $17,715 to $80,403.</w:t>
      </w:r>
    </w:p>
    <w:p>
      <w:pPr>
        <w:spacing w:after="0" w:line="19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i w:val="1"/>
          <w:iCs w:val="1"/>
          <w:color w:val="auto"/>
        </w:rPr>
        <w:t xml:space="preserve">Frog City and Cat Daddy. </w:t>
      </w:r>
      <w:r>
        <w:rPr>
          <w:rFonts w:ascii="Arial" w:cs="Arial" w:eastAsia="Arial" w:hAnsi="Arial"/>
          <w:sz w:val="16"/>
          <w:szCs w:val="16"/>
          <w:color w:val="auto"/>
        </w:rPr>
        <w:t>During fiscal 2003, we acquired the assets of Frog City, Inc. (“Frog City”), the developer of</w:t>
      </w:r>
      <w:r>
        <w:rPr>
          <w:rFonts w:ascii="Arial" w:cs="Arial" w:eastAsia="Arial" w:hAnsi="Arial"/>
          <w:sz w:val="16"/>
          <w:szCs w:val="16"/>
          <w:i w:val="1"/>
          <w:iCs w:val="1"/>
          <w:color w:val="auto"/>
        </w:rPr>
        <w:t xml:space="preserve"> Tropico 2</w:t>
      </w:r>
      <w:r>
        <w:rPr>
          <w:rFonts w:ascii="Arial" w:cs="Arial" w:eastAsia="Arial" w:hAnsi="Arial"/>
          <w:sz w:val="16"/>
          <w:szCs w:val="16"/>
          <w:color w:val="auto"/>
        </w:rPr>
        <w:t>:</w:t>
      </w:r>
      <w:r>
        <w:rPr>
          <w:rFonts w:ascii="Arial" w:cs="Arial" w:eastAsia="Arial" w:hAnsi="Arial"/>
          <w:sz w:val="16"/>
          <w:szCs w:val="16"/>
          <w:i w:val="1"/>
          <w:iCs w:val="1"/>
          <w:color w:val="auto"/>
        </w:rPr>
        <w:t xml:space="preserve"> Pirate Cove</w:t>
      </w:r>
      <w:r>
        <w:rPr>
          <w:rFonts w:ascii="Arial" w:cs="Arial" w:eastAsia="Arial" w:hAnsi="Arial"/>
          <w:sz w:val="16"/>
          <w:szCs w:val="16"/>
          <w:color w:val="auto"/>
        </w:rPr>
        <w:t>, and all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membership interests of Cat Daddy Games LLC (“Cat Daddy”), another development studio. The total purchase price for both studios consisted of $757 in cash and $319 of prepaid royalties previously advanced to Frog City. We also agreed to make additional payments of up to $2,500 to the former owners of Cat Daddy, based on a percentage of Cat Daddy’s profits for the first three years after acquisition, which will be recorded as compensation expense if the targets are met. In connection with the acquisitions, we recorded goodwill of $1,267 and net liabilities of $191.</w:t>
      </w:r>
    </w:p>
    <w:p>
      <w:pPr>
        <w:spacing w:after="0" w:line="17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i w:val="1"/>
          <w:iCs w:val="1"/>
          <w:color w:val="auto"/>
        </w:rPr>
        <w:t>Angel (Rockstar San Diego)</w:t>
      </w:r>
      <w:r>
        <w:rPr>
          <w:rFonts w:ascii="Arial" w:cs="Arial" w:eastAsia="Arial" w:hAnsi="Arial"/>
          <w:sz w:val="16"/>
          <w:szCs w:val="16"/>
          <w:color w:val="auto"/>
        </w:rPr>
        <w:t>. In November 2002, we acquired all of the outstanding capital stock of Angel Studios, Inc. (“Angel”), the developer of</w:t>
      </w:r>
      <w:r>
        <w:rPr>
          <w:rFonts w:ascii="Arial" w:cs="Arial" w:eastAsia="Arial" w:hAnsi="Arial"/>
          <w:sz w:val="16"/>
          <w:szCs w:val="16"/>
          <w:i w:val="1"/>
          <w:iCs w:val="1"/>
          <w:color w:val="auto"/>
        </w:rPr>
        <w:t xml:space="preserve"> Midnight Club and Smuggler’s Run</w:t>
      </w:r>
      <w:r>
        <w:rPr>
          <w:rFonts w:ascii="Arial" w:cs="Arial" w:eastAsia="Arial" w:hAnsi="Arial"/>
          <w:sz w:val="16"/>
          <w:szCs w:val="16"/>
          <w:color w:val="auto"/>
        </w:rPr>
        <w:t>. The purchase price consisted of 235,679 shares of restricted stock (valued at $6,557), $28,512 in cash and $5,931 (net of $801 of</w:t>
      </w:r>
      <w:r>
        <w:rPr>
          <w:rFonts w:ascii="Arial" w:cs="Arial" w:eastAsia="Arial" w:hAnsi="Arial"/>
          <w:sz w:val="16"/>
          <w:szCs w:val="16"/>
          <w:i w:val="1"/>
          <w:iCs w:val="1"/>
          <w:color w:val="auto"/>
        </w:rPr>
        <w:t xml:space="preserve"> </w:t>
      </w:r>
      <w:r>
        <w:rPr>
          <w:rFonts w:ascii="Arial" w:cs="Arial" w:eastAsia="Arial" w:hAnsi="Arial"/>
          <w:sz w:val="16"/>
          <w:szCs w:val="16"/>
          <w:color w:val="auto"/>
        </w:rPr>
        <w:t>royalties payable to Angel) of prepaid royalties previously advanced to Angel. In connection with the acquisition, we recorded identifiable intangibles of $4,720 (comprised of intellectual property of $2,810, technology of $1,600 and non-competition agreements of $310), goodwill of $37,425 and net liabilities of $1,145.</w:t>
      </w:r>
    </w:p>
    <w:p>
      <w:pPr>
        <w:spacing w:after="0" w:line="16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i w:val="1"/>
          <w:iCs w:val="1"/>
          <w:color w:val="auto"/>
        </w:rPr>
        <w:t xml:space="preserve">Barking Dog (Rockstar Vancouver). </w:t>
      </w:r>
      <w:r>
        <w:rPr>
          <w:rFonts w:ascii="Arial" w:cs="Arial" w:eastAsia="Arial" w:hAnsi="Arial"/>
          <w:sz w:val="16"/>
          <w:szCs w:val="16"/>
          <w:color w:val="auto"/>
        </w:rPr>
        <w:t>In August 2002, we acquired all of the outstanding capital stock of Barking Dog Studios Ltd. (“Barking Dog”), a Canadian-based development studio. The purchase price consisted of 242,450 shares of restricted common stock (valued at $3,801), $3,000 in cash, $825 of prepaid royalties previously advanced to Barking Dog and assumed net liabilities of $70. In connection with the acquisition, we recorded identifiable intangibles of $1,800, comprised of non-competition agreements of $1,600 and intellectual property of $200, and goodwill of $6,772.</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acquisitions have been accounted for as purchase transactions and, accordingly, the results of operations and financial position of the acquired businesses are included in our Consolidated Financial Statements from the respective dates of acquisition.</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our agreement with Destineer Publishing Corp. (“Destineer”), a publisher of PC games, requires us to consolidate Destineer’s operating results under FIN 46 (R). See Note 3 to Consolidated Financial Statements.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October 31, 2004 and 2003</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Years ended October 31,</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Increase</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Incr</w:t>
            </w:r>
          </w:p>
        </w:tc>
        <w:tc>
          <w:tcPr>
            <w:tcW w:w="0" w:type="dxa"/>
            <w:vAlign w:val="bottom"/>
          </w:tcPr>
          <w:p>
            <w:pPr>
              <w:spacing w:after="0"/>
              <w:rPr>
                <w:sz w:val="1"/>
                <w:szCs w:val="1"/>
                <w:color w:val="auto"/>
              </w:rPr>
            </w:pPr>
          </w:p>
        </w:tc>
      </w:tr>
      <w:tr>
        <w:trPr>
          <w:trHeight w:val="174"/>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900" w:type="dxa"/>
            <w:vAlign w:val="bottom"/>
          </w:tcPr>
          <w:p>
            <w:pPr>
              <w:jc w:val="right"/>
              <w:ind w:right="29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(Decrease)</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(Decr)</w:t>
            </w:r>
          </w:p>
        </w:tc>
        <w:tc>
          <w:tcPr>
            <w:tcW w:w="0" w:type="dxa"/>
            <w:vAlign w:val="bottom"/>
          </w:tcPr>
          <w:p>
            <w:pPr>
              <w:spacing w:after="0"/>
              <w:rPr>
                <w:sz w:val="1"/>
                <w:szCs w:val="1"/>
                <w:color w:val="auto"/>
              </w:rPr>
            </w:pPr>
          </w:p>
        </w:tc>
      </w:tr>
      <w:tr>
        <w:trPr>
          <w:trHeight w:val="109"/>
        </w:trPr>
        <w:tc>
          <w:tcPr>
            <w:tcW w:w="40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Publishing</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768,482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671,892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96,590</w:t>
            </w: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040" w:type="dxa"/>
            <w:vAlign w:val="bottom"/>
          </w:tcPr>
          <w:p>
            <w:pPr>
              <w:spacing w:after="0"/>
              <w:rPr>
                <w:sz w:val="20"/>
                <w:szCs w:val="20"/>
                <w:color w:val="auto"/>
              </w:rPr>
            </w:pPr>
            <w:r>
              <w:rPr>
                <w:rFonts w:ascii="Arial" w:cs="Arial" w:eastAsia="Arial" w:hAnsi="Arial"/>
                <w:sz w:val="18"/>
                <w:szCs w:val="18"/>
                <w:color w:val="auto"/>
              </w:rPr>
              <w:t>Distribution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359,269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31.9</w:t>
            </w:r>
          </w:p>
        </w:tc>
        <w:tc>
          <w:tcPr>
            <w:tcW w:w="22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361,801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(2,532)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24"/>
        </w:trPr>
        <w:tc>
          <w:tcPr>
            <w:tcW w:w="40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1,127,751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1,033,693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94,058</w:t>
            </w: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40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The increase in net sales was attributable to growth in our publishing business.</w:t>
      </w:r>
    </w:p>
    <w:p>
      <w:pPr>
        <w:spacing w:after="0" w:line="22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 xml:space="preserve">The increase in publishing revenues was primarily attributable to sales of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 xml:space="preserve"> for the PlayStation 2, which was released in October 2004. Sales of sports titles for the PlayStation 2 and Xbox also contributed to the increase in publishing revenues. We expect continued growth in our publishing business for fiscal 2005. Publishing revenues in fiscal 2004 and 2003 include licensing revenues of $20,104 and $25,002, respectively.</w:t>
      </w:r>
    </w:p>
    <w:p>
      <w:pPr>
        <w:spacing w:after="0" w:line="16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Products designed for video game console platforms accounted for 93.1% of fiscal 2004 publishing revenues as compared to 81.2% for fiscal 2003. Products designed for PC platforms accounted for 2.7% of fiscal 2004 publishing revenues as compared to 17.2% for fiscal 2003. We anticipate that our platform mix will remain heavily weighted towards console platforms, but may fluctuate from period to period.</w:t>
      </w:r>
    </w:p>
    <w:p>
      <w:pPr>
        <w:spacing w:after="0" w:line="1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Distribution revenues are derived from the sale of third-party software titles, accessories and hardware. The decrease in distribution revenues was attributable to lower PlayStation 2 console hardware sales due to reduced availability in the market. The lack of PlayStation 2 hardware also resulted in fewer customer orders for PlayStation 2 software. In addition, we experienced lower sales of value-priced product for the PlayStation, which is nearing the end of its hardware lifecycle. These decreases were partially offset by growth in value and frontline software. We expect that distribution operations will grow at a rate consistent with industry trends.</w:t>
      </w:r>
    </w:p>
    <w:p>
      <w:pPr>
        <w:spacing w:after="0" w:line="19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 xml:space="preserve">International operations accounted for approximately $310,379 or 27.5% of net sales for fiscal 2004 compared to $288,753, or 27.9% of net sales for fiscal 2003. The increase in absolute dollars was primarily attributable to sales of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 xml:space="preserve"> for the PlayStation 2. We expect international sales to continue to account for a significant portion of our revenues. Higher foreign exchange rates benefited net sales by approximately $35,826.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Years ended October 31,</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95"/>
        </w:trPr>
        <w:tc>
          <w:tcPr>
            <w:tcW w:w="4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386"/>
        </w:trPr>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ind w:right="31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r>
      <w:tr>
        <w:trPr>
          <w:trHeight w:val="174"/>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96"/>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Sales</w:t>
            </w:r>
          </w:p>
        </w:tc>
        <w:tc>
          <w:tcPr>
            <w:tcW w:w="240" w:type="dxa"/>
            <w:vAlign w:val="bottom"/>
          </w:tcPr>
          <w:p>
            <w:pPr>
              <w:spacing w:after="0"/>
              <w:rPr>
                <w:sz w:val="15"/>
                <w:szCs w:val="15"/>
                <w:color w:val="auto"/>
              </w:rPr>
            </w:pPr>
          </w:p>
        </w:tc>
        <w:tc>
          <w:tcPr>
            <w:tcW w:w="780" w:type="dxa"/>
            <w:vAlign w:val="bottom"/>
          </w:tcPr>
          <w:p>
            <w:pPr>
              <w:jc w:val="right"/>
              <w:ind w:right="296"/>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Sales</w:t>
            </w:r>
          </w:p>
        </w:tc>
        <w:tc>
          <w:tcPr>
            <w:tcW w:w="18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Increase</w:t>
            </w:r>
          </w:p>
        </w:tc>
        <w:tc>
          <w:tcPr>
            <w:tcW w:w="1120" w:type="dxa"/>
            <w:vAlign w:val="bottom"/>
            <w:gridSpan w:val="2"/>
          </w:tcPr>
          <w:p>
            <w:pPr>
              <w:ind w:left="320"/>
              <w:spacing w:after="0"/>
              <w:rPr>
                <w:sz w:val="20"/>
                <w:szCs w:val="20"/>
                <w:color w:val="auto"/>
              </w:rPr>
            </w:pPr>
            <w:r>
              <w:rPr>
                <w:rFonts w:ascii="Arial" w:cs="Arial" w:eastAsia="Arial" w:hAnsi="Arial"/>
                <w:sz w:val="14"/>
                <w:szCs w:val="14"/>
                <w:b w:val="1"/>
                <w:bCs w:val="1"/>
                <w:color w:val="auto"/>
              </w:rPr>
              <w:t>Incr</w:t>
            </w:r>
          </w:p>
        </w:tc>
      </w:tr>
      <w:tr>
        <w:trPr>
          <w:trHeight w:val="109"/>
        </w:trPr>
        <w:tc>
          <w:tcPr>
            <w:tcW w:w="40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102"/>
        </w:trPr>
        <w:tc>
          <w:tcPr>
            <w:tcW w:w="4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43"/>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Product costs</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619,685</w:t>
            </w: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537,257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82,428</w:t>
            </w: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21"/>
                <w:szCs w:val="21"/>
                <w:color w:val="auto"/>
              </w:rPr>
            </w:pPr>
          </w:p>
        </w:tc>
      </w:tr>
      <w:tr>
        <w:trPr>
          <w:trHeight w:val="242"/>
        </w:trPr>
        <w:tc>
          <w:tcPr>
            <w:tcW w:w="4040" w:type="dxa"/>
            <w:vAlign w:val="bottom"/>
          </w:tcPr>
          <w:p>
            <w:pPr>
              <w:spacing w:after="0"/>
              <w:rPr>
                <w:sz w:val="20"/>
                <w:szCs w:val="20"/>
                <w:color w:val="auto"/>
              </w:rPr>
            </w:pPr>
            <w:r>
              <w:rPr>
                <w:rFonts w:ascii="Arial" w:cs="Arial" w:eastAsia="Arial" w:hAnsi="Arial"/>
                <w:sz w:val="18"/>
                <w:szCs w:val="18"/>
                <w:color w:val="auto"/>
              </w:rPr>
              <w:t>Royalties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114,073</w:t>
            </w:r>
          </w:p>
        </w:tc>
        <w:tc>
          <w:tcPr>
            <w:tcW w:w="3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89,294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24,779</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21"/>
                <w:szCs w:val="21"/>
                <w:color w:val="auto"/>
              </w:rPr>
            </w:pPr>
          </w:p>
        </w:tc>
      </w:tr>
      <w:tr>
        <w:trPr>
          <w:trHeight w:val="244"/>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15,922</w:t>
            </w: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11,003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w:t>
            </w: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20" w:type="dxa"/>
            <w:vAlign w:val="bottom"/>
            <w:shd w:val="clear" w:color="auto" w:fill="CCEEFF"/>
          </w:tcPr>
          <w:p>
            <w:pPr>
              <w:spacing w:after="0"/>
              <w:rPr>
                <w:sz w:val="21"/>
                <w:szCs w:val="21"/>
                <w:color w:val="auto"/>
              </w:rPr>
            </w:pPr>
          </w:p>
        </w:tc>
      </w:tr>
      <w:tr>
        <w:trPr>
          <w:trHeight w:val="122"/>
        </w:trPr>
        <w:tc>
          <w:tcPr>
            <w:tcW w:w="4040" w:type="dxa"/>
            <w:vAlign w:val="bottom"/>
          </w:tcPr>
          <w:p>
            <w:pPr>
              <w:spacing w:after="0"/>
              <w:rPr>
                <w:sz w:val="10"/>
                <w:szCs w:val="10"/>
                <w:color w:val="auto"/>
              </w:rPr>
            </w:pPr>
          </w:p>
        </w:tc>
        <w:tc>
          <w:tcPr>
            <w:tcW w:w="240" w:type="dxa"/>
            <w:vAlign w:val="bottom"/>
            <w:tcBorders>
              <w:bottom w:val="single" w:sz="8" w:color="808080"/>
            </w:tcBorders>
            <w:gridSpan w:val="2"/>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r>
        <w:trPr>
          <w:trHeight w:val="343"/>
        </w:trPr>
        <w:tc>
          <w:tcPr>
            <w:tcW w:w="4040" w:type="dxa"/>
            <w:vAlign w:val="bottom"/>
          </w:tcPr>
          <w:p>
            <w:pPr>
              <w:spacing w:after="0"/>
              <w:rPr>
                <w:sz w:val="20"/>
                <w:szCs w:val="20"/>
                <w:color w:val="auto"/>
              </w:rPr>
            </w:pPr>
            <w:r>
              <w:rPr>
                <w:rFonts w:ascii="Arial" w:cs="Arial" w:eastAsia="Arial" w:hAnsi="Arial"/>
                <w:sz w:val="18"/>
                <w:szCs w:val="18"/>
                <w:color w:val="auto"/>
              </w:rPr>
              <w:t>Total cost of sales</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749,680</w:t>
            </w:r>
          </w:p>
        </w:tc>
        <w:tc>
          <w:tcPr>
            <w:tcW w:w="3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66.5</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637,554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61.7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112,126</w:t>
            </w:r>
          </w:p>
        </w:tc>
        <w:tc>
          <w:tcPr>
            <w:tcW w:w="900" w:type="dxa"/>
            <w:vAlign w:val="bottom"/>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24"/>
                <w:szCs w:val="24"/>
                <w:color w:val="auto"/>
              </w:rPr>
            </w:pPr>
          </w:p>
        </w:tc>
      </w:tr>
      <w:tr>
        <w:trPr>
          <w:trHeight w:val="120"/>
        </w:trPr>
        <w:tc>
          <w:tcPr>
            <w:tcW w:w="40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i w:val="1"/>
          <w:iCs w:val="1"/>
          <w:color w:val="auto"/>
        </w:rPr>
        <w:t xml:space="preserve">Product Costs. </w:t>
      </w:r>
      <w:r>
        <w:rPr>
          <w:rFonts w:ascii="Arial" w:cs="Arial" w:eastAsia="Arial" w:hAnsi="Arial"/>
          <w:sz w:val="16"/>
          <w:szCs w:val="16"/>
          <w:color w:val="auto"/>
        </w:rPr>
        <w:t>The increase in product costs was primarily attributable to higher costs associated with products designed for console platforms. Product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as a percentage of sales due to a change in the mix of our publishing business, which reflected a smaller percentage of higher margin PC business compared to the prior year. In addition, we also introduced sports titles at a value price point which resulted in a relatively low margin. Product costs for fiscal 2003 included a charge of $7,892 relating to the impairment of intangibles related to certain products in development.</w:t>
      </w:r>
    </w:p>
    <w:p>
      <w:pPr>
        <w:spacing w:after="0" w:line="16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i w:val="1"/>
          <w:iCs w:val="1"/>
          <w:color w:val="auto"/>
        </w:rPr>
        <w:t>Royalties</w:t>
      </w:r>
      <w:r>
        <w:rPr>
          <w:rFonts w:ascii="Arial" w:cs="Arial" w:eastAsia="Arial" w:hAnsi="Arial"/>
          <w:sz w:val="18"/>
          <w:szCs w:val="18"/>
          <w:color w:val="auto"/>
        </w:rPr>
        <w:t>. The increase in royalties was primarily due to third-party royalties associated with sports titles and increased expenses related to a royalty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product sales for certain of our internal development personnel.</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i w:val="1"/>
          <w:iCs w:val="1"/>
          <w:color w:val="auto"/>
        </w:rPr>
        <w:t>Software Development Costs</w:t>
      </w:r>
      <w:r>
        <w:rPr>
          <w:rFonts w:ascii="Arial" w:cs="Arial" w:eastAsia="Arial" w:hAnsi="Arial"/>
          <w:sz w:val="16"/>
          <w:szCs w:val="16"/>
          <w:color w:val="auto"/>
        </w:rPr>
        <w:t>. Software development costs increased due to the release of a greater number of internally developed titles during fiscal 2004</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higher amortization of capitalized costs. Fiscal 2004 also includes a write off of $3,020 for a project that was abandoned during the year.</w:t>
      </w:r>
    </w:p>
    <w:p>
      <w:pPr>
        <w:spacing w:after="0" w:line="139"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In future periods, cost of sales may be adversely affected by manufacturing and other costs, price competition and by changes in product, sales mix and distribution channels.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6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Years ended October 31,</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79"/>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11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Increase</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Incr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96"/>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Sales</w:t>
            </w:r>
          </w:p>
        </w:tc>
        <w:tc>
          <w:tcPr>
            <w:tcW w:w="240" w:type="dxa"/>
            <w:vAlign w:val="bottom"/>
          </w:tcPr>
          <w:p>
            <w:pPr>
              <w:spacing w:after="0"/>
              <w:rPr>
                <w:sz w:val="15"/>
                <w:szCs w:val="15"/>
                <w:color w:val="auto"/>
              </w:rPr>
            </w:pPr>
          </w:p>
        </w:tc>
        <w:tc>
          <w:tcPr>
            <w:tcW w:w="780" w:type="dxa"/>
            <w:vAlign w:val="bottom"/>
          </w:tcPr>
          <w:p>
            <w:pPr>
              <w:jc w:val="right"/>
              <w:ind w:right="296"/>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Sales</w:t>
            </w:r>
          </w:p>
        </w:tc>
        <w:tc>
          <w:tcPr>
            <w:tcW w:w="160" w:type="dxa"/>
            <w:vAlign w:val="bottom"/>
          </w:tcPr>
          <w:p>
            <w:pPr>
              <w:spacing w:after="0"/>
              <w:rPr>
                <w:sz w:val="15"/>
                <w:szCs w:val="15"/>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(Decrease)</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(Decr)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117,606</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103,015</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14,591</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98,226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88,083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10,143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43,259</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25,107</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18,152</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16,846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16,923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275,937</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233,128</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42,809</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i w:val="1"/>
          <w:iCs w:val="1"/>
          <w:color w:val="auto"/>
        </w:rPr>
        <w:t xml:space="preserve">Selling and marketing. </w:t>
      </w:r>
      <w:r>
        <w:rPr>
          <w:rFonts w:ascii="Arial" w:cs="Arial" w:eastAsia="Arial" w:hAnsi="Arial"/>
          <w:sz w:val="16"/>
          <w:szCs w:val="16"/>
          <w:color w:val="auto"/>
        </w:rPr>
        <w:t>The increase in selling and marketing expense was attributable to increased levels of advertising and promotional support for existing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new titles, specifically the ESPN sports titles, as well as higher personnel expenses, and is consistent with the growth of our business.</w:t>
      </w:r>
    </w:p>
    <w:p>
      <w:pPr>
        <w:spacing w:after="0" w:line="139"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The increase in general and administrative expense was principally attributable to higher professional fees and rent, partly offset by</w:t>
      </w:r>
      <w:r>
        <w:rPr>
          <w:rFonts w:ascii="Arial" w:cs="Arial" w:eastAsia="Arial" w:hAnsi="Arial"/>
          <w:sz w:val="16"/>
          <w:szCs w:val="16"/>
          <w:i w:val="1"/>
          <w:iCs w:val="1"/>
          <w:color w:val="auto"/>
        </w:rPr>
        <w:t xml:space="preserve"> </w:t>
      </w:r>
      <w:r>
        <w:rPr>
          <w:rFonts w:ascii="Arial" w:cs="Arial" w:eastAsia="Arial" w:hAnsi="Arial"/>
          <w:sz w:val="16"/>
          <w:szCs w:val="16"/>
          <w:color w:val="auto"/>
        </w:rPr>
        <w:t>the absence of a fiscal 2003 charge of $7,028 associated with the consolidation of our distribution operations. Higher professional fees were incurred in connection with legal and regulatory matters and were partly offset by the reimbursement of $922 of legal fees from insurance proceeds. The increase in rent expense included costs associated with relocating a European office and additional space in our corporate offices.</w:t>
      </w:r>
    </w:p>
    <w:p>
      <w:pPr>
        <w:spacing w:after="0" w:line="16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costs increased primarily due to the acquisitions of development studios, as well as increased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costs. Once software development projects reach technological feasibility, which is relatively early in the development process, a substantial portion of our research and development costs are capitalized and subsequently amortized as cost of goods sold.</w:t>
      </w:r>
    </w:p>
    <w:p>
      <w:pPr>
        <w:spacing w:after="0" w:line="19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In fiscal 2003, we incurred a $4,407 charge related to the impairment of a customer list from a previous acquisition as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consolidation of our distribution operations. Excluding this fiscal 2003 charge, there was an increase in depreciation and amortization in fiscal 2004 principally due to higher depreciation related to the build out of our corporate offices and the implementation of software systems.</w:t>
      </w:r>
    </w:p>
    <w:p>
      <w:pPr>
        <w:spacing w:after="0" w:line="16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Income from Operations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from operations decreased by $60,877 or 37.3%, to $102,134 for fiscal 2004 from $163,011 for fiscal 2003, due to the 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referred to above. Higher foreign exchange rates benefited income from operations by approximately $1,074.</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net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income decreased by $289, or 12.8% for fiscal 2004, and was attributable to interest earned on the invested cash.</w:t>
      </w:r>
    </w:p>
    <w:p>
      <w:pPr>
        <w:spacing w:after="0" w:line="24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i w:val="1"/>
          <w:iCs w:val="1"/>
          <w:color w:val="auto"/>
        </w:rPr>
        <w:t>Provision for Settlement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recorded a provision of $7.5 million in connection with a proposed settlement of an SEC investigation. See Note 11 to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w:t>
      </w:r>
    </w:p>
    <w:p>
      <w:pPr>
        <w:spacing w:after="0" w:line="18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Provision for Income Taxes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 expense was $31,232 for fiscal 2004 as compared to $67,197 for fiscal 2003. The decrease was primarily attributable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lower effective tax rate and decreased taxable income in fiscal 2004. The effective tax rate was 32.3% for fiscal 2004, as compared to 40.6% for fiscal 2003. The fiscal 2004 tax provision included benefits from a change in the mix of earnings with a greater proportion of income from lower tax jurisdictions (5.5% decrease to the effective tax rate) and from the extraterritorial income benefit (ETI) (4.0% decrease to the effective tax rate) partially offset by the nondeductibility of the $7.5 million proposed SEC settlement (2.3% increase to the effective rate). The fiscal 2003 tax provision included the effect of a valuation allowance against capital loss and other carryforwards (6.31% increase to the effective tax rate) partially offset by ETI (5.5% decrease to the effective tax rate).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At October 31, 2004, we had capital loss carryforwards totaling approximately $20,000. The capital loss carryforwards will expire in the periods fiscal 2006 through fiscal 2008. Management does not expect to generate sufficient taxable income from capital transactions prior to the expiration of these benefits, and accordingly a valuation allowance was recorded in fiscal 2003 for this asset as it is more likely than not that the deferred tax asset related to these carryforwards will not be realized. At October 31, 2004, we had foreign net operating losses of approximately $11,000 expiring between 2005 and 2010, and state net operating losses of approximately $62,000 expiring between 2021 and 2023. If these losses are determined to not be utilizable prior to expiration, additional valuation allowances may need to be recorded in future periods.</w:t>
      </w:r>
    </w:p>
    <w:p>
      <w:pPr>
        <w:spacing w:after="0" w:line="17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Recently enacted legislation generally provides that the ETI benefit described above will be reduced by 20% in 2005 and 40% in 2006, and will be eliminated in its entirety in 2007, which may result in higher future effective tax rates. Although this legislation also provides for future phased-in deductions for qualifying domestic production activities, we are presently unable to determine whether we will be able to realize any benefit from this provision. In addition, the legislation makes available a one-time 85% tax reduction with respect to repatriated foreign earnings through 2005. We do not believe that this provision will provide a material benefit to us.</w:t>
      </w:r>
    </w:p>
    <w:p>
      <w:pPr>
        <w:spacing w:after="0" w:line="197"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We are regularly audited by domestic and foreign taxing authorities. Audits may result in tax assessments in excess of amounts claimed and the payment of additional taxes. We believe that our tax positions comply with applicable tax law, and that we have adequately provided for reasonably foreseeable tax assessments.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income decreased $32,740 or 33.4%, to $65,378 for fiscal 2004 from $98,118 for fiscal 2003, due to the changes referred to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Net Income per Share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net income per share decreased $0.84 or 37.0%, to $1.43 for fiscal 2004 from $2.27 for fiscal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October 31, 2003 and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6"/>
          </w:tcPr>
          <w:p>
            <w:pPr>
              <w:ind w:left="320"/>
              <w:spacing w:after="0"/>
              <w:rPr>
                <w:sz w:val="20"/>
                <w:szCs w:val="20"/>
                <w:color w:val="auto"/>
              </w:rPr>
            </w:pPr>
            <w:r>
              <w:rPr>
                <w:rFonts w:ascii="Arial" w:cs="Arial" w:eastAsia="Arial" w:hAnsi="Arial"/>
                <w:sz w:val="14"/>
                <w:szCs w:val="14"/>
                <w:b w:val="1"/>
                <w:bCs w:val="1"/>
                <w:color w:val="auto"/>
              </w:rPr>
              <w:t>Years ended October 31,</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20" w:type="dxa"/>
            <w:vAlign w:val="bottom"/>
            <w:gridSpan w:val="3"/>
            <w:vMerge w:val="restart"/>
          </w:tcPr>
          <w:p>
            <w:pPr>
              <w:jc w:val="center"/>
              <w:ind w:left="23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Incr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7"/>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97"/>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9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120"/>
              <w:spacing w:after="0"/>
              <w:rPr>
                <w:sz w:val="20"/>
                <w:szCs w:val="20"/>
                <w:color w:val="auto"/>
              </w:rPr>
            </w:pPr>
            <w:r>
              <w:rPr>
                <w:rFonts w:ascii="Arial" w:cs="Arial" w:eastAsia="Arial" w:hAnsi="Arial"/>
                <w:sz w:val="14"/>
                <w:szCs w:val="14"/>
                <w:b w:val="1"/>
                <w:bCs w:val="1"/>
                <w:color w:val="auto"/>
                <w:w w:val="94"/>
              </w:rPr>
              <w:t>(Decrease)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(Decr)</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Publishing</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671,892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568,492</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103,400</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Distribution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361,801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226,184</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135,617</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4040" w:type="dxa"/>
            <w:vAlign w:val="bottom"/>
            <w:gridSpan w:val="2"/>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bottom w:val="single" w:sz="8" w:color="808080"/>
            </w:tcBorders>
            <w:gridSpan w:val="2"/>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1,033,693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794,676</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239,017</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-14605</wp:posOffset>
            </wp:positionV>
            <wp:extent cx="215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-14605</wp:posOffset>
            </wp:positionV>
            <wp:extent cx="215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-14605</wp:posOffset>
            </wp:positionV>
            <wp:extent cx="215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-14605</wp:posOffset>
            </wp:positionV>
            <wp:extent cx="215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-14605</wp:posOffset>
            </wp:positionV>
            <wp:extent cx="215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-14605</wp:posOffset>
            </wp:positionV>
            <wp:extent cx="215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The increase in net sales was attributable to growth in our publishing and distribution operations.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The increase in publishing revenues was primarily attributable to sales of </w:t>
      </w:r>
      <w:r>
        <w:rPr>
          <w:rFonts w:ascii="Arial" w:cs="Arial" w:eastAsia="Arial" w:hAnsi="Arial"/>
          <w:sz w:val="18"/>
          <w:szCs w:val="18"/>
          <w:i w:val="1"/>
          <w:iCs w:val="1"/>
          <w:color w:val="auto"/>
        </w:rPr>
        <w:t>Grand Theft Auto: Vice City</w:t>
      </w:r>
      <w:r>
        <w:rPr>
          <w:rFonts w:ascii="Arial" w:cs="Arial" w:eastAsia="Arial" w:hAnsi="Arial"/>
          <w:sz w:val="18"/>
          <w:szCs w:val="18"/>
          <w:color w:val="auto"/>
        </w:rPr>
        <w:t xml:space="preserve"> for PlayStation 2, which was released in October 2002 in North America and in November 2002 internationally and reflected the growth of our publishing operations in Europe. Publishing revenues in fiscal 2003 and 2002 include licensing revenues of $25,002 and $13,873, respectively.</w:t>
      </w:r>
    </w:p>
    <w:p>
      <w:pPr>
        <w:spacing w:after="0" w:line="194"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Products designed for video game console platforms accounted for 81.2% of publishing revenues for fiscal 2003 as compared to 83.9% for fiscal 2002. Products designed for PC platforms accounted for 17.2% of publishing revenues for fiscal 2003 as compared to 14.3% for fiscal 2002.</w:t>
      </w:r>
    </w:p>
    <w:p>
      <w:pPr>
        <w:spacing w:after="0" w:line="13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Distribution revenues are derived from the sale of third-party software titles, accessories and hardware. The increase in distribution revenues was primarily attributable to our increasing market share for budget titles in North American retail channels.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International operations accounted for approximately $288,753, or 27.9% of net sales for fiscal 2003 compared to $159,245, or 20.0% of net sales for fiscal 2002. The increases were primarily attributable to expanded publishing operations in Europe, which benefited from the November 2002 release of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Vice City </w:t>
      </w:r>
      <w:r>
        <w:rPr>
          <w:rFonts w:ascii="Arial" w:cs="Arial" w:eastAsia="Arial" w:hAnsi="Arial"/>
          <w:sz w:val="18"/>
          <w:szCs w:val="18"/>
          <w:color w:val="auto"/>
        </w:rPr>
        <w:t>for PlayStation 2, and strengthening of foreign currencies relative to the US dollar.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6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Years ended October 31,</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ind w:left="32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20" w:type="dxa"/>
            <w:vAlign w:val="bottom"/>
            <w:gridSpan w:val="2"/>
          </w:tcPr>
          <w:p>
            <w:pPr>
              <w:jc w:val="right"/>
              <w:ind w:right="33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96"/>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Sales</w:t>
            </w:r>
          </w:p>
        </w:tc>
        <w:tc>
          <w:tcPr>
            <w:tcW w:w="240" w:type="dxa"/>
            <w:vAlign w:val="bottom"/>
          </w:tcPr>
          <w:p>
            <w:pPr>
              <w:spacing w:after="0"/>
              <w:rPr>
                <w:sz w:val="15"/>
                <w:szCs w:val="15"/>
                <w:color w:val="auto"/>
              </w:rPr>
            </w:pPr>
          </w:p>
        </w:tc>
        <w:tc>
          <w:tcPr>
            <w:tcW w:w="780" w:type="dxa"/>
            <w:vAlign w:val="bottom"/>
          </w:tcPr>
          <w:p>
            <w:pPr>
              <w:jc w:val="right"/>
              <w:ind w:right="296"/>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Sales</w:t>
            </w:r>
          </w:p>
        </w:tc>
        <w:tc>
          <w:tcPr>
            <w:tcW w:w="180" w:type="dxa"/>
            <w:vAlign w:val="bottom"/>
          </w:tcPr>
          <w:p>
            <w:pPr>
              <w:spacing w:after="0"/>
              <w:rPr>
                <w:sz w:val="15"/>
                <w:szCs w:val="15"/>
                <w:color w:val="auto"/>
              </w:rPr>
            </w:pPr>
          </w:p>
        </w:tc>
        <w:tc>
          <w:tcPr>
            <w:tcW w:w="840" w:type="dxa"/>
            <w:vAlign w:val="bottom"/>
          </w:tcPr>
          <w:p>
            <w:pPr>
              <w:jc w:val="right"/>
              <w:ind w:right="176"/>
              <w:spacing w:after="0"/>
              <w:rPr>
                <w:sz w:val="20"/>
                <w:szCs w:val="20"/>
                <w:color w:val="auto"/>
              </w:rPr>
            </w:pPr>
            <w:r>
              <w:rPr>
                <w:rFonts w:ascii="Arial" w:cs="Arial" w:eastAsia="Arial" w:hAnsi="Arial"/>
                <w:sz w:val="14"/>
                <w:szCs w:val="14"/>
                <w:b w:val="1"/>
                <w:bCs w:val="1"/>
                <w:color w:val="auto"/>
                <w:w w:val="98"/>
              </w:rPr>
              <w:t>Increase</w:t>
            </w:r>
          </w:p>
        </w:tc>
        <w:tc>
          <w:tcPr>
            <w:tcW w:w="320" w:type="dxa"/>
            <w:vAlign w:val="bottom"/>
          </w:tcPr>
          <w:p>
            <w:pPr>
              <w:spacing w:after="0"/>
              <w:rPr>
                <w:sz w:val="15"/>
                <w:szCs w:val="15"/>
                <w:color w:val="auto"/>
              </w:rPr>
            </w:pPr>
          </w:p>
        </w:tc>
        <w:tc>
          <w:tcPr>
            <w:tcW w:w="1120" w:type="dxa"/>
            <w:vAlign w:val="bottom"/>
            <w:gridSpan w:val="2"/>
          </w:tcPr>
          <w:p>
            <w:pPr>
              <w:ind w:left="320"/>
              <w:spacing w:after="0"/>
              <w:rPr>
                <w:sz w:val="20"/>
                <w:szCs w:val="20"/>
                <w:color w:val="auto"/>
              </w:rPr>
            </w:pPr>
            <w:r>
              <w:rPr>
                <w:rFonts w:ascii="Arial" w:cs="Arial" w:eastAsia="Arial" w:hAnsi="Arial"/>
                <w:sz w:val="14"/>
                <w:szCs w:val="14"/>
                <w:b w:val="1"/>
                <w:bCs w:val="1"/>
                <w:color w:val="auto"/>
              </w:rPr>
              <w:t>Incr</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costs</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537,257</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411,518</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125,739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Royalties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89,294</w:t>
            </w:r>
          </w:p>
        </w:tc>
        <w:tc>
          <w:tcPr>
            <w:tcW w:w="3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80,442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8,852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 development costs</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11,003</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8,124</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404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4040" w:type="dxa"/>
            <w:vAlign w:val="bottom"/>
            <w:gridSpan w:val="2"/>
          </w:tcPr>
          <w:p>
            <w:pPr>
              <w:spacing w:after="0"/>
              <w:rPr>
                <w:sz w:val="20"/>
                <w:szCs w:val="20"/>
                <w:color w:val="auto"/>
              </w:rPr>
            </w:pPr>
            <w:r>
              <w:rPr>
                <w:rFonts w:ascii="Arial" w:cs="Arial" w:eastAsia="Arial" w:hAnsi="Arial"/>
                <w:sz w:val="18"/>
                <w:szCs w:val="18"/>
                <w:color w:val="auto"/>
              </w:rPr>
              <w:t>Total cost of sales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637,554</w:t>
            </w:r>
          </w:p>
        </w:tc>
        <w:tc>
          <w:tcPr>
            <w:tcW w:w="3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61.7</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500,084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137,470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Product Costs. </w:t>
      </w:r>
      <w:r>
        <w:rPr>
          <w:rFonts w:ascii="Arial" w:cs="Arial" w:eastAsia="Arial" w:hAnsi="Arial"/>
          <w:sz w:val="18"/>
          <w:szCs w:val="18"/>
          <w:color w:val="auto"/>
        </w:rPr>
        <w:t>The increase in product costs was primarily attributable to higher costs associated with our expanded distribution operations. These costs were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partly offset by lower product pricing from suppliers and lower manufacturing costs (principally attributable to volume purchase discounts and rebates) and lower cost PC titles. Product costs for fiscal 2003 included a charge of $7,892 relating to the impairment of intangibles related to certain products in development, including </w:t>
      </w:r>
      <w:r>
        <w:rPr>
          <w:rFonts w:ascii="Arial" w:cs="Arial" w:eastAsia="Arial" w:hAnsi="Arial"/>
          <w:sz w:val="18"/>
          <w:szCs w:val="18"/>
          <w:i w:val="1"/>
          <w:iCs w:val="1"/>
          <w:color w:val="auto"/>
        </w:rPr>
        <w:t>Duke Nukem Forever</w:t>
      </w:r>
      <w:r>
        <w:rPr>
          <w:rFonts w:ascii="Arial" w:cs="Arial" w:eastAsia="Arial" w:hAnsi="Arial"/>
          <w:sz w:val="18"/>
          <w:szCs w:val="18"/>
          <w:color w:val="auto"/>
        </w:rPr>
        <w:t xml:space="preserve"> and its sequel. The impairment was based on continued product development delays and our assessment of current market acceptance and projected cash flows for these products. Product costs for fiscal 2002 included $3,064 of litigation settlement costs relating to a distribution agreement.</w:t>
      </w:r>
    </w:p>
    <w:p>
      <w:pPr>
        <w:spacing w:after="0" w:line="192" w:lineRule="exact"/>
        <w:rPr>
          <w:sz w:val="20"/>
          <w:szCs w:val="20"/>
          <w:color w:val="auto"/>
        </w:rPr>
      </w:pPr>
    </w:p>
    <w:p>
      <w:pPr>
        <w:ind w:right="700"/>
        <w:spacing w:after="0" w:line="339" w:lineRule="auto"/>
        <w:rPr>
          <w:sz w:val="20"/>
          <w:szCs w:val="20"/>
          <w:color w:val="auto"/>
        </w:rPr>
      </w:pPr>
      <w:r>
        <w:rPr>
          <w:rFonts w:ascii="Arial" w:cs="Arial" w:eastAsia="Arial" w:hAnsi="Arial"/>
          <w:sz w:val="16"/>
          <w:szCs w:val="16"/>
          <w:i w:val="1"/>
          <w:iCs w:val="1"/>
          <w:color w:val="auto"/>
        </w:rPr>
        <w:t>Royalties</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increase in royalties was primarily due to expense under a royalty program based on product sales for certain of our internal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personnel, partly offset by lower royalties payable to third parties and lower write-downs and amortization of prepaid royalties.</w:t>
      </w:r>
    </w:p>
    <w:p>
      <w:pPr>
        <w:spacing w:after="0" w:line="134"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i w:val="1"/>
          <w:iCs w:val="1"/>
          <w:color w:val="auto"/>
        </w:rPr>
        <w:t xml:space="preserve">Software Development Costs. </w:t>
      </w:r>
      <w:r>
        <w:rPr>
          <w:rFonts w:ascii="Arial" w:cs="Arial" w:eastAsia="Arial" w:hAnsi="Arial"/>
          <w:sz w:val="16"/>
          <w:szCs w:val="16"/>
          <w:color w:val="auto"/>
        </w:rPr>
        <w:t>Software development costs increased due to the release of a greater number of internally developed titles during this period</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higher amortization in the current period. These software development costs relate to our internally developed titles.</w:t>
      </w:r>
    </w:p>
    <w:p>
      <w:pPr>
        <w:spacing w:after="0" w:line="13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In future periods, cost of sales may be adversely affected by manufacturing and other costs, price competition and by changes in product and sales mix and distribution channels.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6"/>
          </w:tcPr>
          <w:p>
            <w:pPr>
              <w:ind w:left="320"/>
              <w:spacing w:after="0"/>
              <w:rPr>
                <w:sz w:val="20"/>
                <w:szCs w:val="20"/>
                <w:color w:val="auto"/>
              </w:rPr>
            </w:pPr>
            <w:r>
              <w:rPr>
                <w:rFonts w:ascii="Arial" w:cs="Arial" w:eastAsia="Arial" w:hAnsi="Arial"/>
                <w:sz w:val="14"/>
                <w:szCs w:val="14"/>
                <w:b w:val="1"/>
                <w:bCs w:val="1"/>
                <w:color w:val="auto"/>
              </w:rPr>
              <w:t>Years ended October 31,</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ind w:left="32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20" w:type="dxa"/>
            <w:vAlign w:val="bottom"/>
            <w:gridSpan w:val="3"/>
          </w:tcPr>
          <w:p>
            <w:pPr>
              <w:jc w:val="right"/>
              <w:ind w:right="33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96"/>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5"/>
                <w:szCs w:val="15"/>
                <w:color w:val="auto"/>
              </w:rPr>
            </w:pPr>
          </w:p>
        </w:tc>
        <w:tc>
          <w:tcPr>
            <w:tcW w:w="900" w:type="dxa"/>
            <w:vAlign w:val="bottom"/>
          </w:tcPr>
          <w:p>
            <w:pPr>
              <w:jc w:val="right"/>
              <w:ind w:right="296"/>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5"/>
                <w:szCs w:val="15"/>
                <w:color w:val="auto"/>
              </w:rPr>
            </w:pPr>
          </w:p>
        </w:tc>
        <w:tc>
          <w:tcPr>
            <w:tcW w:w="900" w:type="dxa"/>
            <w:vAlign w:val="bottom"/>
          </w:tcPr>
          <w:p>
            <w:pPr>
              <w:jc w:val="right"/>
              <w:ind w:right="176"/>
              <w:spacing w:after="0"/>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52"/>
              <w:spacing w:after="0"/>
              <w:rPr>
                <w:sz w:val="20"/>
                <w:szCs w:val="20"/>
                <w:color w:val="auto"/>
              </w:rPr>
            </w:pPr>
            <w:r>
              <w:rPr>
                <w:rFonts w:ascii="Arial" w:cs="Arial" w:eastAsia="Arial" w:hAnsi="Arial"/>
                <w:sz w:val="14"/>
                <w:szCs w:val="14"/>
                <w:b w:val="1"/>
                <w:bCs w:val="1"/>
                <w:color w:val="auto"/>
              </w:rPr>
              <w:t>Incr</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103,015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77,990</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25,025</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88,083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71,544</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16,539</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25,107</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11,524</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13,583</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10,829</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6,094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56.3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040" w:type="dxa"/>
            <w:vAlign w:val="bottom"/>
            <w:gridSpan w:val="2"/>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233,128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171,887</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61,241</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-14605</wp:posOffset>
            </wp:positionV>
            <wp:extent cx="215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-14605</wp:posOffset>
            </wp:positionV>
            <wp:extent cx="215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-14605</wp:posOffset>
            </wp:positionV>
            <wp:extent cx="215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-14605</wp:posOffset>
            </wp:positionV>
            <wp:extent cx="215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-14605</wp:posOffset>
            </wp:positionV>
            <wp:extent cx="215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-14605</wp:posOffset>
            </wp:positionV>
            <wp:extent cx="215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 xml:space="preserve">Selling and marketing. </w:t>
      </w:r>
      <w:r>
        <w:rPr>
          <w:rFonts w:ascii="Arial" w:cs="Arial" w:eastAsia="Arial" w:hAnsi="Arial"/>
          <w:sz w:val="18"/>
          <w:szCs w:val="18"/>
          <w:color w:val="auto"/>
        </w:rPr>
        <w:t>The increase in selling and marketing expense was attributable to increased levels of advertising and promotional support for existing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new titles as well as higher personnel expenses and is consistent with the growth of our business.</w:t>
      </w:r>
    </w:p>
    <w:p>
      <w:pPr>
        <w:spacing w:after="0" w:line="18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general and administrative expense increase in absolute dollars was principally attributable to costs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of our distribution operations, as well as increased personnel expenses (including bonuses, severance payments and the issuance of restricted stock), higher rent and bad debt expenses. Higher costs were partly offset by lower professional fees, including the reimbursement of $1,100 of legal fees from insurance proceeds in fiscal 2003 relating to costs recorded in the prior year. Fiscal 2002 costs reflected litigation settlement costs of $1,190 relating to a distribution arrangement. The fiscal 2003 net consolidation charge of $7,028 consisted of: lease termination costs, representing the fair value of remaining lease payments, net of estimated sublease rent; disposition of fixed assets, representing the net book value of fixed assets and leasehold improvements; and other exit costs. Bad debt expense increased as a result of customer bankruptcies not covered by insurance during the current year.</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costs increased primarily due to the acquisitions of development studios, as well as increased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costs. Once software development projects reach technological feasibility, which is relatively early in the development process, a substantial portion of our research and development costs are capitalized and subsequently amortized as cost of goods sold.</w:t>
      </w:r>
    </w:p>
    <w:p>
      <w:pPr>
        <w:spacing w:after="0" w:line="19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increase includes $4,407 related to the impairment of a customer list from a previous</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as a result of the consolidation of our distribution operations, higher amortization of intangible assets as a result of acquisitions and higher depreciation related to the implementation of accounting software systems.</w:t>
      </w:r>
    </w:p>
    <w:p>
      <w:pPr>
        <w:spacing w:after="0" w:line="18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i w:val="1"/>
          <w:iCs w:val="1"/>
          <w:color w:val="auto"/>
        </w:rPr>
        <w:t>Income from Operation</w:t>
      </w:r>
      <w:r>
        <w:rPr>
          <w:rFonts w:ascii="Arial" w:cs="Arial" w:eastAsia="Arial" w:hAnsi="Arial"/>
          <w:sz w:val="18"/>
          <w:szCs w:val="18"/>
          <w:b w:val="1"/>
          <w:bCs w:val="1"/>
          <w:color w:val="auto"/>
        </w:rPr>
        <w:t>s</w:t>
      </w:r>
      <w:r>
        <w:rPr>
          <w:rFonts w:ascii="Arial" w:cs="Arial" w:eastAsia="Arial" w:hAnsi="Arial"/>
          <w:sz w:val="18"/>
          <w:szCs w:val="18"/>
          <w:color w:val="auto"/>
        </w:rPr>
        <w:t>. Income from operations increased by $40,306, or 32.8%, to $163,011 for fiscal 2003 from $122,705 for fiscal 2002, due to the 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referred to above.</w:t>
      </w:r>
    </w:p>
    <w:p>
      <w:pPr>
        <w:spacing w:after="0" w:line="18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of $2,265 for fiscal 2003 was attributable to interest earned on the invested cash. Interest expense of $480 for fiscal 2002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reflected borrowings from our credit facilities, which were repaid in early fiscal 2002.</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Class Action Settlement Costs</w:t>
      </w:r>
      <w:r>
        <w:rPr>
          <w:rFonts w:ascii="Arial" w:cs="Arial" w:eastAsia="Arial" w:hAnsi="Arial"/>
          <w:sz w:val="18"/>
          <w:szCs w:val="18"/>
          <w:i w:val="1"/>
          <w:iCs w:val="1"/>
          <w:color w:val="auto"/>
        </w:rPr>
        <w:t>.</w:t>
      </w:r>
      <w:r>
        <w:rPr>
          <w:rFonts w:ascii="Arial" w:cs="Arial" w:eastAsia="Arial" w:hAnsi="Arial"/>
          <w:sz w:val="18"/>
          <w:szCs w:val="18"/>
          <w:color w:val="auto"/>
        </w:rPr>
        <w:t>During fiscal 2002, we recorded $1,468 of class action settlement costs, which represents a settlement of $7,500 and related legal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net of $6,145 of insurance proceeds.</w:t>
      </w:r>
    </w:p>
    <w:p>
      <w:pPr>
        <w:spacing w:after="0" w:line="18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Provision for Income Taxes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 expense was $67,197 for fiscal 2003 as compared to $49,375 for fiscal 2002. The increase was primarily attributable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taxable income. The effective tax rate was 40.6% for fiscal 2003, as compared to an effective tax rate of 40.8% for fiscal 2002. The fiscal 2003 tax provision included the effect of a valuation allowance in the amount of $10,429 attributable to capital and other loss carryforwards. The effective income tax rate differs from the statutory rate primarily as a result of non-taxable foreign income, non-deductible expenses, valuation allowances for deferred tax assets and the mix of foreign and domestic taxes as applied to the income. This resulted in a lower effective tax rate in fiscal 2003, which was offset by a $10,429 valuation allowance primarily related to capital loss carryforwards.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income increased $26,555 or 37.1%, to $98,118 for fiscal 2003 from $71,563 for fiscal 2002, due to the changes referred to above.</w:t>
      </w:r>
    </w:p>
    <w:p>
      <w:pPr>
        <w:spacing w:after="0" w:line="248"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b w:val="1"/>
          <w:bCs w:val="1"/>
          <w:i w:val="1"/>
          <w:iCs w:val="1"/>
          <w:color w:val="auto"/>
        </w:rPr>
        <w:t>Diluted Net Income per Share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Diluted net income per share increased $0.46, or 25.4%, to $2.27 for fiscal 2003 from $1.81 for fiscal 2002. The increase in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income was partly offset by the higher weighted average shares outstanding. The increase in weighted shares outstanding resulted from the issuance of shares underlying stock options and to the acquisitions of the </w:t>
      </w:r>
      <w:r>
        <w:rPr>
          <w:rFonts w:ascii="Arial" w:cs="Arial" w:eastAsia="Arial" w:hAnsi="Arial"/>
          <w:sz w:val="16"/>
          <w:szCs w:val="16"/>
          <w:i w:val="1"/>
          <w:iCs w:val="1"/>
          <w:color w:val="auto"/>
        </w:rPr>
        <w:t>Max Payne</w:t>
      </w:r>
      <w:r>
        <w:rPr>
          <w:rFonts w:ascii="Arial" w:cs="Arial" w:eastAsia="Arial" w:hAnsi="Arial"/>
          <w:sz w:val="16"/>
          <w:szCs w:val="16"/>
          <w:color w:val="auto"/>
        </w:rPr>
        <w:t xml:space="preserve"> intellectual property and the development studios.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Our primary cash requirements are to fund the development and marketing of our products. We satisfy our working capital requirements primarily through cash flow from operations. At October 31, 2004, we had working capital of $395,131 as compared to working capital of $347,922 at October 31, 2003.</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decreased $28,382 during fiscal 2004 as follows:</w:t>
      </w:r>
    </w:p>
    <w:p>
      <w:pPr>
        <w:spacing w:after="0" w:line="315" w:lineRule="exact"/>
        <w:rPr>
          <w:sz w:val="20"/>
          <w:szCs w:val="20"/>
          <w:color w:val="auto"/>
        </w:rPr>
      </w:pPr>
    </w:p>
    <w:tbl>
      <w:tblPr>
        <w:tblLayout w:type="fixed"/>
        <w:tblInd w:w="11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gridSpan w:val="7"/>
          </w:tcPr>
          <w:p>
            <w:pPr>
              <w:jc w:val="right"/>
              <w:ind w:right="123"/>
              <w:spacing w:after="0"/>
              <w:rPr>
                <w:sz w:val="20"/>
                <w:szCs w:val="20"/>
                <w:color w:val="auto"/>
              </w:rPr>
            </w:pPr>
            <w:r>
              <w:rPr>
                <w:rFonts w:ascii="Arial" w:cs="Arial" w:eastAsia="Arial" w:hAnsi="Arial"/>
                <w:sz w:val="14"/>
                <w:szCs w:val="14"/>
                <w:b w:val="1"/>
                <w:bCs w:val="1"/>
                <w:color w:val="auto"/>
              </w:rPr>
              <w:t>Years ended October 31,</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98"/>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96"/>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76"/>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provided by operations</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80,628</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144,998</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(64,422)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(45,881)</w:t>
            </w: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(18,084)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provided (used) by financing activities</w:t>
            </w:r>
          </w:p>
        </w:tc>
        <w:tc>
          <w:tcPr>
            <w:tcW w:w="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16,315</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44,562</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9"/>
              </w:rPr>
              <w:t>Effect of foreign exchange rates on cash and cash equivalents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(733)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(4,201)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7,387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(28,382)</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75,108</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102,313</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Cash provided by operations decreased by 75% or $60,170 to $20,458 reflecting an increase in working capital, primarily due to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levels of accounts receivables and inventories, offset by higher net income adjusted for non-cash items.</w:t>
      </w:r>
    </w:p>
    <w:p>
      <w:pPr>
        <w:spacing w:after="0" w:line="18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Over the last three years we have acquired several development studios and used cash as part of the purchase price. In fiscal 2004, we used</w:t>
      </w:r>
      <w:r>
        <w:rPr>
          <w:rFonts w:ascii="Arial" w:cs="Arial" w:eastAsia="Arial" w:hAnsi="Arial"/>
          <w:sz w:val="16"/>
          <w:szCs w:val="16"/>
          <w:i w:val="1"/>
          <w:iCs w:val="1"/>
          <w:color w:val="auto"/>
        </w:rPr>
        <w:t xml:space="preserve"> </w:t>
      </w:r>
      <w:r>
        <w:rPr>
          <w:rFonts w:ascii="Arial" w:cs="Arial" w:eastAsia="Arial" w:hAnsi="Arial"/>
          <w:sz w:val="16"/>
          <w:szCs w:val="16"/>
          <w:color w:val="auto"/>
        </w:rPr>
        <w:t>$39,336 in cash to acquire Indie, TDK, Mobius and Venom compared to $27,973 and $3,788 in cash for acquisitions in fiscal 2003 and 2002. In 2004, we incurred capital expenditures associated with the build-out of our new corporate offices and the continued improvement of our software systems.</w:t>
      </w:r>
    </w:p>
    <w:p>
      <w:pPr>
        <w:spacing w:after="0" w:line="16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We continue to generate cash from the exercise of stock options by employees. The amounts can vary significantly by year. Proceeds from</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stock options decreased by $28,182 in fiscal 2004 to $16,683. In fiscal 2002, we repaid all amounts outstanding, totaling $54,284, under our line of credit.</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 xml:space="preserve">Significant Balance Sheet Changes: </w:t>
      </w:r>
      <w:r>
        <w:rPr>
          <w:rFonts w:ascii="Arial" w:cs="Arial" w:eastAsia="Arial" w:hAnsi="Arial"/>
          <w:sz w:val="18"/>
          <w:szCs w:val="18"/>
          <w:color w:val="auto"/>
        </w:rPr>
        <w:t>The increase of $128,571 in gross accounts receivable, before allowances, at October 31, 2004 is attributable primarily to</w:t>
      </w:r>
      <w:r>
        <w:rPr>
          <w:rFonts w:ascii="Arial" w:cs="Arial" w:eastAsia="Arial" w:hAnsi="Arial"/>
          <w:sz w:val="18"/>
          <w:szCs w:val="18"/>
          <w:i w:val="1"/>
          <w:iCs w:val="1"/>
          <w:color w:val="auto"/>
        </w:rPr>
        <w:t xml:space="preserve"> </w:t>
      </w:r>
      <w:r>
        <w:rPr>
          <w:rFonts w:ascii="Arial" w:cs="Arial" w:eastAsia="Arial" w:hAnsi="Arial"/>
          <w:sz w:val="18"/>
          <w:szCs w:val="18"/>
          <w:color w:val="auto"/>
        </w:rPr>
        <w:t>sales from a major product release at the end of fiscal 2004.</w:t>
      </w:r>
    </w:p>
    <w:p>
      <w:pPr>
        <w:spacing w:after="0" w:line="18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allowances, which include doubtful accounts, returns, price concessions, rebates and other sales allowances, increased to $72,215 at October 31, 2004 from $62,817 at October 31, 2003 and decreased as a percentage of receivables to 20.2% at October 31, 2004 from 27.4% at October 31, 2003. The dollar increase in allowances is consistent with the volume of products launched at year end. The decrease in the allowance as a percentage of gross receivables was primarily the result of sales from a major product release on which lower allowances were required. We had accounts receivable days outstanding of 59 days for the three months ended October 31, 2004, as compared to 56 days for the three months ended October 31, 2003. Receivable days outstanding increased primarily as a result of the significant amount of sales of a major product release at year end. Our receivable days outstanding fluctuate from period to period depending on the timing of product releases.</w:t>
      </w:r>
    </w:p>
    <w:p>
      <w:pPr>
        <w:spacing w:after="0" w:line="17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Generally, we have been able to collect our receivables in the ordinary course of business. We do not hold any collateral to secure payment from customers and our receivables are generally not covered by insurance. As a result, we are subject to credit risks, particularly in the event that any of the receivables represent a limited number of retailers or are concentrated in foreign markets. If we are unable to collect our accounts receivable as they become due, it could adversely affect our liquidity and working capital position and we would be required to increase our provision for doubtful accounts.</w:t>
      </w:r>
    </w:p>
    <w:p>
      <w:pPr>
        <w:spacing w:after="0" w:line="16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Inventories of $154,345 at October 31, 2004 increased $52,597 from October 31, 2003, reflecting higher levels of distribution products. Accounts payable of $163,961 at October 31, 2004 increased $57,789 primarily due to the increase in inventory levels. Accrued expenses increased as a result of an increase in royalties payable under a royalty program based on product sales for certain of our internal development personnel and the provision for the offer of settlement with the SEC.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Loan Facilities: </w:t>
      </w:r>
      <w:r>
        <w:rPr>
          <w:rFonts w:ascii="Arial" w:cs="Arial" w:eastAsia="Arial" w:hAnsi="Arial"/>
          <w:sz w:val="16"/>
          <w:szCs w:val="16"/>
          <w:color w:val="auto"/>
        </w:rPr>
        <w:t>In December 1999, we entered into a credit agreement, as amended and restated in August 2002, with a group of lenders led by Bank of America,</w:t>
      </w:r>
      <w:r>
        <w:rPr>
          <w:rFonts w:ascii="Arial" w:cs="Arial" w:eastAsia="Arial" w:hAnsi="Arial"/>
          <w:sz w:val="16"/>
          <w:szCs w:val="16"/>
          <w:i w:val="1"/>
          <w:iCs w:val="1"/>
          <w:color w:val="auto"/>
        </w:rPr>
        <w:t xml:space="preserve"> </w:t>
      </w:r>
      <w:r>
        <w:rPr>
          <w:rFonts w:ascii="Arial" w:cs="Arial" w:eastAsia="Arial" w:hAnsi="Arial"/>
          <w:sz w:val="16"/>
          <w:szCs w:val="16"/>
          <w:color w:val="auto"/>
        </w:rPr>
        <w:t>N.A., as agent. The agreement provides for borrowings of up to $40,000 through the expiration of the line of credit on August 28, 2005. Generally, advances under the line of credit are based on a borrowing formula equal to 75% of eligible accounts receivable plus 35% of eligible inventory. Interest accrues on such advances at the bank’s prime rate plus 0.25% to 1.25%, or at LIBOR plus 2.25% to 2.75% depending on the Company’s consolidated leverage ratio (as defined). We are required to pay a commitment fee to the bank equal to 0.5% of the unused loan balance. Borrowings under the line of credit are collateralized by our accounts receivable, inventory, equipment, general intangibles, securities and other personal property, including the capital stock of our domestic subsidiaries. Available borrowings under the agreement are reduced by the amount of the outstanding standby letter of credit, which was $1,560 at October 31, 2004. The loan agreement contains certain financial and other covenants, including the maintenance of consolidated net worth, consolidated leverage ratio and consolidated fixed charge coverage ratio. As of October 31, 2004, we were in compliance with such covenants. The loan agreement limits or prohibits us from declaring or paying cash dividends, merging or consolidating with another corporation, selling assets (other than in the ordinary course of business), creating liens and incurring additional indebtedness. We had no outstanding borrowings under the revolving line of credit as of October 31, 2004 and 2003.</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2001, our United Kingdom subsidiary entered into a credit facility agreement, as amended in March 2002 and April 2004, with Lloyds TSB Bank plc (“Lloyds”) under which Lloyds agreed to make available borrowings of up to approximately $24,000. Advances under the credit facility bear interest at the rate of 1.25% per annum over the bank’s base rate, and are guaranteed by us. Available borrowings under the agreement are reduced by the amount of outstanding guarantees. The facility expires on March 31, 2005. We had no material outstanding guarantees and no borrowings under this facility as of October 31, 2004 and 2003.</w:t>
      </w:r>
    </w:p>
    <w:p>
      <w:pPr>
        <w:spacing w:after="0" w:line="197"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We expect to spend an additional $3.5 million in connection with the continued improvement of our software systems for our domestic and</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operations. We also expect to make additional capital expenditures of $4.5 million for leasehold improvements and equipment in our new warehouse facilities in Cincinnati, Ohio. As of the date of this report, we have no other material commitments for capital expenditures.</w:t>
      </w:r>
    </w:p>
    <w:p>
      <w:pPr>
        <w:spacing w:after="0" w:line="161"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Our Board of Directors authorized a stock repurchase program under which we may repurchase up to $25,000 of our common stock from time to time in the open market or in privately negotiated transactions. We have not repurchased any shares under this program.</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have incurred and may continue to incur significant legal, accounting and other professional fees and expenses in connection with regulatory and compliance matters.</w:t>
      </w:r>
    </w:p>
    <w:p>
      <w:pPr>
        <w:spacing w:after="0" w:line="18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Based on our currently proposed operating plans and assumptions, we believe that projected cash flow from operations and available cash resources will be sufficient to satisfy our cash requirements for the reasonably foreseeable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Liabilities and Commitments</w:t>
      </w:r>
    </w:p>
    <w:p>
      <w:pPr>
        <w:spacing w:after="0" w:line="231"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Our offices and warehouse facilities are occupied under non-cancelable operating leases expiring at various times from December 2004 to September 2014. We also lease certain furniture, equipment and automobiles under non- cancelable leases expiring through March 2008. Our future minimum rental payments for the fiscal 2005 are $9,875 and aggregate minimum rental payments through applicable lease expirations are $61,848.</w:t>
      </w:r>
    </w:p>
    <w:p>
      <w:pPr>
        <w:spacing w:after="0" w:line="161"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We have entered into distribution agreements under which we purchase various software games. These agreements, which expire between March 2005 and December 2005, require remaining aggregate minimum guaranteed payments of $7,487 at October 31, 2004. Additionally, assuming performance by third-party developers, we have outstanding commitments under various software development agreements to pay developers an aggregate of $82,342 during fiscal 2005.</w:t>
      </w:r>
    </w:p>
    <w:p>
      <w:pPr>
        <w:spacing w:after="0" w:line="14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acquisition of Mobius in fiscal 2004, we agreed to make additional contingent payments of approximately $2,000 based on delivery of products. In fiscal 2003 we agreed to make payments of up to $2,500 to the former owners of Cat Daddy based on a percentage of Cat Daddy’s profits for the first three years after acquisition. The payables will be recorded when the conditions requiring their payment are met.</w:t>
      </w:r>
    </w:p>
    <w:p>
      <w:pPr>
        <w:spacing w:after="0" w:line="16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 connection with our acquisition of the publishing rights to the </w:t>
      </w:r>
      <w:r>
        <w:rPr>
          <w:rFonts w:ascii="Arial" w:cs="Arial" w:eastAsia="Arial" w:hAnsi="Arial"/>
          <w:sz w:val="18"/>
          <w:szCs w:val="18"/>
          <w:i w:val="1"/>
          <w:iCs w:val="1"/>
          <w:color w:val="auto"/>
        </w:rPr>
        <w:t>Duke Nukem</w:t>
      </w:r>
      <w:r>
        <w:rPr>
          <w:rFonts w:ascii="Arial" w:cs="Arial" w:eastAsia="Arial" w:hAnsi="Arial"/>
          <w:sz w:val="18"/>
          <w:szCs w:val="18"/>
          <w:color w:val="auto"/>
        </w:rPr>
        <w:t xml:space="preserve"> franchise for PC and video games we are obligated to pay $6,000 contingent upon delivery of the final version of </w:t>
      </w:r>
      <w:r>
        <w:rPr>
          <w:rFonts w:ascii="Arial" w:cs="Arial" w:eastAsia="Arial" w:hAnsi="Arial"/>
          <w:sz w:val="18"/>
          <w:szCs w:val="18"/>
          <w:i w:val="1"/>
          <w:iCs w:val="1"/>
          <w:color w:val="auto"/>
        </w:rPr>
        <w:t>Duke Nukem Forever</w:t>
      </w:r>
      <w:r>
        <w:rPr>
          <w:rFonts w:ascii="Arial" w:cs="Arial" w:eastAsia="Arial" w:hAnsi="Arial"/>
          <w:sz w:val="18"/>
          <w:szCs w:val="18"/>
          <w:color w:val="auto"/>
        </w:rPr>
        <w:t xml:space="preserve"> for the PC. In May 2003, we agreed to make payments of up to $6,000 in cash upon the achievement of certain sales targets for </w:t>
      </w:r>
      <w:r>
        <w:rPr>
          <w:rFonts w:ascii="Arial" w:cs="Arial" w:eastAsia="Arial" w:hAnsi="Arial"/>
          <w:sz w:val="18"/>
          <w:szCs w:val="18"/>
          <w:i w:val="1"/>
          <w:iCs w:val="1"/>
          <w:color w:val="auto"/>
        </w:rPr>
        <w:t>Max Payne 2</w:t>
      </w:r>
      <w:r>
        <w:rPr>
          <w:rFonts w:ascii="Arial" w:cs="Arial" w:eastAsia="Arial" w:hAnsi="Arial"/>
          <w:sz w:val="18"/>
          <w:szCs w:val="18"/>
          <w:color w:val="auto"/>
        </w:rPr>
        <w:t>. We do not expect that these sales targets will be achieved.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minimum contractual obligations (excluding obligations under employment agreements) and commercial commitments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October 31, 2004:</w:t>
      </w:r>
    </w:p>
    <w:p>
      <w:pPr>
        <w:spacing w:after="0" w:line="309" w:lineRule="exact"/>
        <w:rPr>
          <w:sz w:val="20"/>
          <w:szCs w:val="20"/>
          <w:color w:val="auto"/>
        </w:rPr>
      </w:pPr>
    </w:p>
    <w:p>
      <w:pPr>
        <w:ind w:left="6820"/>
        <w:spacing w:after="0"/>
        <w:rPr>
          <w:sz w:val="20"/>
          <w:szCs w:val="20"/>
          <w:color w:val="auto"/>
        </w:rPr>
      </w:pPr>
      <w:r>
        <w:rPr>
          <w:rFonts w:ascii="Arial" w:cs="Arial" w:eastAsia="Arial" w:hAnsi="Arial"/>
          <w:sz w:val="14"/>
          <w:szCs w:val="14"/>
          <w:b w:val="1"/>
          <w:bCs w:val="1"/>
          <w:color w:val="auto"/>
        </w:rPr>
        <w:t>Payments due by periods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77470</wp:posOffset>
            </wp:positionV>
            <wp:extent cx="26930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p>
      <w:pPr>
        <w:spacing w:after="0" w:line="310" w:lineRule="exact"/>
        <w:rPr>
          <w:sz w:val="20"/>
          <w:szCs w:val="20"/>
          <w:color w:val="auto"/>
        </w:rPr>
      </w:pPr>
    </w:p>
    <w:p>
      <w:pPr>
        <w:ind w:left="1140"/>
        <w:spacing w:after="0"/>
        <w:rPr>
          <w:sz w:val="20"/>
          <w:szCs w:val="20"/>
          <w:color w:val="auto"/>
        </w:rPr>
      </w:pPr>
      <w:r>
        <w:rPr>
          <w:rFonts w:ascii="Arial" w:cs="Arial" w:eastAsia="Arial" w:hAnsi="Arial"/>
          <w:sz w:val="16"/>
          <w:szCs w:val="16"/>
          <w:b w:val="1"/>
          <w:bCs w:val="1"/>
          <w:u w:val="single" w:color="auto"/>
          <w:color w:val="auto"/>
        </w:rPr>
        <w:t>Contractual Obligations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6"/>
              </w:rPr>
              <w:t>2006 to</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2008 to</w:t>
            </w:r>
          </w:p>
        </w:tc>
        <w:tc>
          <w:tcPr>
            <w:tcW w:w="900" w:type="dxa"/>
            <w:vAlign w:val="bottom"/>
          </w:tcPr>
          <w:p>
            <w:pPr>
              <w:jc w:val="center"/>
              <w:ind w:left="232"/>
              <w:spacing w:after="0"/>
              <w:rPr>
                <w:sz w:val="20"/>
                <w:szCs w:val="20"/>
                <w:color w:val="auto"/>
              </w:rPr>
            </w:pPr>
            <w:r>
              <w:rPr>
                <w:rFonts w:ascii="Arial" w:cs="Arial" w:eastAsia="Arial" w:hAnsi="Arial"/>
                <w:sz w:val="14"/>
                <w:szCs w:val="14"/>
                <w:b w:val="1"/>
                <w:bCs w:val="1"/>
                <w:color w:val="auto"/>
                <w:w w:val="86"/>
              </w:rPr>
              <w:t>2010 and</w:t>
            </w:r>
          </w:p>
        </w:tc>
      </w:tr>
      <w:tr>
        <w:trPr>
          <w:trHeight w:val="174"/>
        </w:trPr>
        <w:tc>
          <w:tcPr>
            <w:tcW w:w="70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jc w:val="right"/>
              <w:ind w:right="292"/>
              <w:spacing w:after="0"/>
              <w:rPr>
                <w:sz w:val="20"/>
                <w:szCs w:val="20"/>
                <w:color w:val="auto"/>
              </w:rPr>
            </w:pPr>
            <w:r>
              <w:rPr>
                <w:rFonts w:ascii="Arial" w:cs="Arial" w:eastAsia="Arial" w:hAnsi="Arial"/>
                <w:sz w:val="14"/>
                <w:szCs w:val="14"/>
                <w:b w:val="1"/>
                <w:bCs w:val="1"/>
                <w:color w:val="auto"/>
              </w:rPr>
              <w:t>2005</w:t>
            </w:r>
          </w:p>
        </w:tc>
        <w:tc>
          <w:tcPr>
            <w:tcW w:w="1120" w:type="dxa"/>
            <w:vAlign w:val="bottom"/>
          </w:tcPr>
          <w:p>
            <w:pPr>
              <w:jc w:val="right"/>
              <w:ind w:right="332"/>
              <w:spacing w:after="0"/>
              <w:rPr>
                <w:sz w:val="20"/>
                <w:szCs w:val="20"/>
                <w:color w:val="auto"/>
              </w:rPr>
            </w:pPr>
            <w:r>
              <w:rPr>
                <w:rFonts w:ascii="Arial" w:cs="Arial" w:eastAsia="Arial" w:hAnsi="Arial"/>
                <w:sz w:val="14"/>
                <w:szCs w:val="14"/>
                <w:b w:val="1"/>
                <w:bCs w:val="1"/>
                <w:color w:val="auto"/>
              </w:rPr>
              <w:t>2007</w:t>
            </w:r>
          </w:p>
        </w:tc>
        <w:tc>
          <w:tcPr>
            <w:tcW w:w="1020" w:type="dxa"/>
            <w:vAlign w:val="bottom"/>
          </w:tcPr>
          <w:p>
            <w:pPr>
              <w:jc w:val="right"/>
              <w:ind w:right="272"/>
              <w:spacing w:after="0"/>
              <w:rPr>
                <w:sz w:val="20"/>
                <w:szCs w:val="20"/>
                <w:color w:val="auto"/>
              </w:rPr>
            </w:pPr>
            <w:r>
              <w:rPr>
                <w:rFonts w:ascii="Arial" w:cs="Arial" w:eastAsia="Arial" w:hAnsi="Arial"/>
                <w:sz w:val="14"/>
                <w:szCs w:val="14"/>
                <w:b w:val="1"/>
                <w:bCs w:val="1"/>
                <w:color w:val="auto"/>
              </w:rPr>
              <w:t>2009</w:t>
            </w:r>
          </w:p>
        </w:tc>
        <w:tc>
          <w:tcPr>
            <w:tcW w:w="900" w:type="dxa"/>
            <w:vAlign w:val="bottom"/>
          </w:tcPr>
          <w:p>
            <w:pPr>
              <w:jc w:val="center"/>
              <w:ind w:left="212"/>
              <w:spacing w:after="0"/>
              <w:rPr>
                <w:sz w:val="20"/>
                <w:szCs w:val="20"/>
                <w:color w:val="auto"/>
              </w:rPr>
            </w:pPr>
            <w:r>
              <w:rPr>
                <w:rFonts w:ascii="Arial" w:cs="Arial" w:eastAsia="Arial" w:hAnsi="Arial"/>
                <w:sz w:val="14"/>
                <w:szCs w:val="14"/>
                <w:b w:val="1"/>
                <w:bCs w:val="1"/>
                <w:color w:val="auto"/>
                <w:w w:val="90"/>
              </w:rPr>
              <w:t>Thereafter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60325</wp:posOffset>
            </wp:positionV>
            <wp:extent cx="33788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00" w:space="720"/>
            <w:col w:w="6160"/>
          </w:cols>
          <w:pgMar w:left="240" w:top="131" w:right="279" w:bottom="1440" w:gutter="0" w:footer="0" w:header="0"/>
          <w:type w:val="continuous"/>
        </w:sectPr>
      </w:pPr>
    </w:p>
    <w:p>
      <w:pPr>
        <w:spacing w:after="0" w:line="17"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15,952</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20,719</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7"/>
        </w:trPr>
        <w:tc>
          <w:tcPr>
            <w:tcW w:w="2880" w:type="dxa"/>
            <w:vAlign w:val="bottom"/>
            <w:gridSpan w:val="2"/>
          </w:tcPr>
          <w:p>
            <w:pPr>
              <w:spacing w:after="0"/>
              <w:rPr>
                <w:sz w:val="20"/>
                <w:szCs w:val="20"/>
                <w:color w:val="auto"/>
              </w:rPr>
            </w:pPr>
            <w:r>
              <w:rPr>
                <w:rFonts w:ascii="Arial" w:cs="Arial" w:eastAsia="Arial" w:hAnsi="Arial"/>
                <w:sz w:val="18"/>
                <w:szCs w:val="18"/>
                <w:color w:val="auto"/>
              </w:rPr>
              <w:t>Letters of Credit</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2"/>
        </w:trPr>
        <w:tc>
          <w:tcPr>
            <w:tcW w:w="20" w:type="dxa"/>
            <w:vAlign w:val="bottom"/>
            <w:vMerge w:val="restart"/>
          </w:tcPr>
          <w:p>
            <w:pPr>
              <w:spacing w:after="0"/>
              <w:rPr>
                <w:sz w:val="23"/>
                <w:szCs w:val="23"/>
                <w:color w:val="auto"/>
              </w:rPr>
            </w:pPr>
          </w:p>
        </w:tc>
        <w:tc>
          <w:tcPr>
            <w:tcW w:w="2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Publishing Arrangements</w:t>
            </w:r>
          </w:p>
        </w:tc>
        <w:tc>
          <w:tcPr>
            <w:tcW w:w="8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123,706</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82,342</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41,364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7"/>
        </w:trPr>
        <w:tc>
          <w:tcPr>
            <w:tcW w:w="2880" w:type="dxa"/>
            <w:vAlign w:val="bottom"/>
            <w:gridSpan w:val="2"/>
          </w:tcPr>
          <w:p>
            <w:pPr>
              <w:spacing w:after="0"/>
              <w:rPr>
                <w:sz w:val="20"/>
                <w:szCs w:val="20"/>
                <w:color w:val="auto"/>
              </w:rPr>
            </w:pPr>
            <w:r>
              <w:rPr>
                <w:rFonts w:ascii="Arial" w:cs="Arial" w:eastAsia="Arial" w:hAnsi="Arial"/>
                <w:sz w:val="18"/>
                <w:szCs w:val="18"/>
                <w:color w:val="auto"/>
              </w:rPr>
              <w:t>Distribution Arrangements</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7,487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6,149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194,601</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99,926</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58,654</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20,719</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3724910</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Operating Results and Seasonality</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experienced fluctuations in quarterly operating results as a result of the timing of the introduction of new titles; variations in sales of titles developed for particular platforms; market acceptance of our titles; development and promotional expenses relating to the introduction of new titles; sequels or enhancements of existing titles; projected and actual changes in platforms; the timing and success of title introductions by our competitors; product returns; changes in pricing policies by us and our competitors; the size and timing of acquisitions; the timing of orders from major customers; order cancellations; and delays in product shipment. Sales of our titles are also seasonal, with peak shipments typically occurring in the fourth calendar quarter (our fourth and first fiscal quarters) as a result of increased demand for titles during the holiday season. Quarterly comparisons of operating results are not necessarily indicative of future operating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Sales in international markets, principally in the United Kingdom and other countries in Europe, have accounted for a significant portion of our net sales. For fiscal 2004 and 2003, sales in international markets accounted for approximately 27.5% and 27.9%, respectively, of our net sales. We are subject to risks inherent in foreign trade, including increased credit risks, tariffs and duties, fluctuations in foreign currency exchange rates, shipping delays and international political, regulatory and economic developments, all of which can have a significant impact on our operating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The market for our titles is characterized by short product life cycles.</w:t>
      </w:r>
      <w:r>
        <w:rPr>
          <w:rFonts w:ascii="Arial" w:cs="Arial" w:eastAsia="Arial" w:hAnsi="Arial"/>
          <w:sz w:val="16"/>
          <w:szCs w:val="16"/>
          <w:color w:val="auto"/>
        </w:rPr>
        <w:t>The market for our titles is characterized by short product life cycles and frequent</w:t>
      </w:r>
      <w:r>
        <w:rPr>
          <w:rFonts w:ascii="Arial" w:cs="Arial" w:eastAsia="Arial" w:hAnsi="Arial"/>
          <w:sz w:val="16"/>
          <w:szCs w:val="16"/>
          <w:i w:val="1"/>
          <w:iCs w:val="1"/>
          <w:color w:val="auto"/>
        </w:rPr>
        <w:t xml:space="preserve"> </w:t>
      </w:r>
      <w:r>
        <w:rPr>
          <w:rFonts w:ascii="Arial" w:cs="Arial" w:eastAsia="Arial" w:hAnsi="Arial"/>
          <w:sz w:val="16"/>
          <w:szCs w:val="16"/>
          <w:color w:val="auto"/>
        </w:rPr>
        <w:t>introductions of new products. New products introduced by us may not achieve significant market acceptance or achieve sufficient sales to permit us to recover development, manufacturing and marketing costs. The life cycle of a game generally involves a relatively high level of sales during the first few months after introduction followed by a decline in sales, although sales of certain products may extend for significant periods of time, including through our election to participate in Sony’s Greatest Hits and Microsoft’s Platinum Hits programs. Because revenues associated with the initial shipments of a new product generally constitute a high percentage of the total revenues associated with the life of a product, any delay in the introduction of one or more new products could adversely affect our operating results for particular periods. If we introduce a relatively limited number of new products in any period, the failure of one or more of our products to achieve market acceptance could adversely affect our operating results.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A significant portion of our revenues is derived from a limited number of titles. </w:t>
      </w:r>
      <w:r>
        <w:rPr>
          <w:rFonts w:ascii="Arial" w:cs="Arial" w:eastAsia="Arial" w:hAnsi="Arial"/>
          <w:sz w:val="16"/>
          <w:szCs w:val="16"/>
          <w:color w:val="auto"/>
        </w:rPr>
        <w:t>For the year ended October 31, 2004, our ten best selling titles accounted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approximately 46.3% of our revenues, with </w:t>
      </w:r>
      <w:r>
        <w:rPr>
          <w:rFonts w:ascii="Arial" w:cs="Arial" w:eastAsia="Arial" w:hAnsi="Arial"/>
          <w:sz w:val="16"/>
          <w:szCs w:val="16"/>
          <w:i w:val="1"/>
          <w:iCs w:val="1"/>
          <w:color w:val="auto"/>
        </w:rPr>
        <w:t>Grand Theft Auto: San Andreas</w:t>
      </w:r>
      <w:r>
        <w:rPr>
          <w:rFonts w:ascii="Arial" w:cs="Arial" w:eastAsia="Arial" w:hAnsi="Arial"/>
          <w:sz w:val="16"/>
          <w:szCs w:val="16"/>
          <w:color w:val="auto"/>
        </w:rPr>
        <w:t xml:space="preserve"> for the PlayStation 2 accounting for 20.9% of our revenues; </w:t>
      </w:r>
      <w:r>
        <w:rPr>
          <w:rFonts w:ascii="Arial" w:cs="Arial" w:eastAsia="Arial" w:hAnsi="Arial"/>
          <w:sz w:val="16"/>
          <w:szCs w:val="16"/>
          <w:i w:val="1"/>
          <w:iCs w:val="1"/>
          <w:color w:val="auto"/>
        </w:rPr>
        <w:t>Grand Theft Auto Double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Pack </w:t>
      </w:r>
      <w:r>
        <w:rPr>
          <w:rFonts w:ascii="Arial" w:cs="Arial" w:eastAsia="Arial" w:hAnsi="Arial"/>
          <w:sz w:val="16"/>
          <w:szCs w:val="16"/>
          <w:color w:val="auto"/>
        </w:rPr>
        <w:t>for the Xbox accounting for 5.7% of our revenues;</w:t>
      </w:r>
      <w:r>
        <w:rPr>
          <w:rFonts w:ascii="Arial" w:cs="Arial" w:eastAsia="Arial" w:hAnsi="Arial"/>
          <w:sz w:val="16"/>
          <w:szCs w:val="16"/>
          <w:i w:val="1"/>
          <w:iCs w:val="1"/>
          <w:color w:val="auto"/>
        </w:rPr>
        <w:t xml:space="preserve"> Grand Theft Auto: Vice City </w:t>
      </w:r>
      <w:r>
        <w:rPr>
          <w:rFonts w:ascii="Arial" w:cs="Arial" w:eastAsia="Arial" w:hAnsi="Arial"/>
          <w:sz w:val="16"/>
          <w:szCs w:val="16"/>
          <w:color w:val="auto"/>
        </w:rPr>
        <w:t>for PlayStation 2 accounting for 3.6% of our revenues;</w:t>
      </w:r>
      <w:r>
        <w:rPr>
          <w:rFonts w:ascii="Arial" w:cs="Arial" w:eastAsia="Arial" w:hAnsi="Arial"/>
          <w:sz w:val="16"/>
          <w:szCs w:val="16"/>
          <w:i w:val="1"/>
          <w:iCs w:val="1"/>
          <w:color w:val="auto"/>
        </w:rPr>
        <w:t xml:space="preserve"> Max Payne 2: The Fall of Max Payne </w:t>
      </w:r>
      <w:r>
        <w:rPr>
          <w:rFonts w:ascii="Arial" w:cs="Arial" w:eastAsia="Arial" w:hAnsi="Arial"/>
          <w:sz w:val="16"/>
          <w:szCs w:val="16"/>
          <w:color w:val="auto"/>
        </w:rPr>
        <w:t>for PlayStation 2 accounting for 3.2% of our revenues; and</w:t>
      </w:r>
      <w:r>
        <w:rPr>
          <w:rFonts w:ascii="Arial" w:cs="Arial" w:eastAsia="Arial" w:hAnsi="Arial"/>
          <w:sz w:val="16"/>
          <w:szCs w:val="16"/>
          <w:i w:val="1"/>
          <w:iCs w:val="1"/>
          <w:color w:val="auto"/>
        </w:rPr>
        <w:t xml:space="preserve"> Manhunt </w:t>
      </w:r>
      <w:r>
        <w:rPr>
          <w:rFonts w:ascii="Arial" w:cs="Arial" w:eastAsia="Arial" w:hAnsi="Arial"/>
          <w:sz w:val="16"/>
          <w:szCs w:val="16"/>
          <w:color w:val="auto"/>
        </w:rPr>
        <w:t>for PlayStation 2 accounting for 2.9% of our revenues.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ended October 31, 2003, our ten best selling titles accounted for approximately 50.6% of our revenues, with </w:t>
      </w:r>
      <w:r>
        <w:rPr>
          <w:rFonts w:ascii="Arial" w:cs="Arial" w:eastAsia="Arial" w:hAnsi="Arial"/>
          <w:sz w:val="16"/>
          <w:szCs w:val="16"/>
          <w:i w:val="1"/>
          <w:iCs w:val="1"/>
          <w:color w:val="auto"/>
        </w:rPr>
        <w:t>Grand Theft Auto: Vice City</w:t>
      </w:r>
      <w:r>
        <w:rPr>
          <w:rFonts w:ascii="Arial" w:cs="Arial" w:eastAsia="Arial" w:hAnsi="Arial"/>
          <w:sz w:val="16"/>
          <w:szCs w:val="16"/>
          <w:color w:val="auto"/>
        </w:rPr>
        <w:t xml:space="preserve"> for PlayStation 2 accounting for 33.6% of our revenues; </w:t>
      </w:r>
      <w:r>
        <w:rPr>
          <w:rFonts w:ascii="Arial" w:cs="Arial" w:eastAsia="Arial" w:hAnsi="Arial"/>
          <w:sz w:val="16"/>
          <w:szCs w:val="16"/>
          <w:i w:val="1"/>
          <w:iCs w:val="1"/>
          <w:color w:val="auto"/>
        </w:rPr>
        <w:t>Midnight Club 2</w:t>
      </w:r>
      <w:r>
        <w:rPr>
          <w:rFonts w:ascii="Arial" w:cs="Arial" w:eastAsia="Arial" w:hAnsi="Arial"/>
          <w:sz w:val="16"/>
          <w:szCs w:val="16"/>
          <w:color w:val="auto"/>
        </w:rPr>
        <w:t xml:space="preserve"> for PlayStation 2 accounting for 4.1% of our revenues, and </w:t>
      </w:r>
      <w:r>
        <w:rPr>
          <w:rFonts w:ascii="Arial" w:cs="Arial" w:eastAsia="Arial" w:hAnsi="Arial"/>
          <w:sz w:val="16"/>
          <w:szCs w:val="16"/>
          <w:i w:val="1"/>
          <w:iCs w:val="1"/>
          <w:color w:val="auto"/>
        </w:rPr>
        <w:t>Grand Theft Auto: Vice City</w:t>
      </w:r>
      <w:r>
        <w:rPr>
          <w:rFonts w:ascii="Arial" w:cs="Arial" w:eastAsia="Arial" w:hAnsi="Arial"/>
          <w:sz w:val="16"/>
          <w:szCs w:val="16"/>
          <w:color w:val="auto"/>
        </w:rPr>
        <w:t xml:space="preserve"> for PC accounting for 2.6% of our revenues. For the year ended October 31, 2002, our ten best selling titles accounted for approximately 59.5% of our revenues. If we fail to continue to develop and sell new, commercially successful titles, our revenues and profits may decrease substantially and we may incur losses.</w:t>
      </w:r>
    </w:p>
    <w:p>
      <w:pPr>
        <w:spacing w:after="0" w:line="17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Our quarterly operating results may vary significantly, which could cause our stock price to decline. </w:t>
      </w:r>
      <w:r>
        <w:rPr>
          <w:rFonts w:ascii="Arial" w:cs="Arial" w:eastAsia="Arial" w:hAnsi="Arial"/>
          <w:sz w:val="18"/>
          <w:szCs w:val="18"/>
          <w:color w:val="auto"/>
        </w:rPr>
        <w:t>We have experienced and may continue to experience wide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 in quarterly operating results. The interactive entertainment industry is highly seasonal, with sales typically higher during the fourth calendar quarter (our fourth and first fiscal quarters), due primarily to the increased demand for games during the holiday buying season. Our failure or inability to introduce products on a timely basis to meet seasonal fluctuations in demand will harm our business and operating results. These fluctuations could also cause our stock price to decline. Other factors that cause fluctuations include:</w:t>
      </w:r>
    </w:p>
    <w:p>
      <w:pPr>
        <w:spacing w:after="0" w:line="197" w:lineRule="exact"/>
        <w:rPr>
          <w:sz w:val="20"/>
          <w:szCs w:val="20"/>
          <w:color w:val="auto"/>
        </w:rPr>
      </w:pPr>
    </w:p>
    <w:p>
      <w:pPr>
        <w:ind w:left="680" w:hanging="334"/>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delays in the introduction of new titles;</w:t>
      </w:r>
    </w:p>
    <w:p>
      <w:pPr>
        <w:spacing w:after="0" w:line="15" w:lineRule="exact"/>
        <w:rPr>
          <w:rFonts w:ascii="Arial" w:cs="Arial" w:eastAsia="Arial" w:hAnsi="Arial"/>
          <w:sz w:val="18"/>
          <w:szCs w:val="18"/>
          <w:color w:val="auto"/>
        </w:rPr>
      </w:pPr>
    </w:p>
    <w:p>
      <w:pPr>
        <w:ind w:left="680" w:hanging="334"/>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size and timing of product and business acquisitions;</w:t>
      </w:r>
    </w:p>
    <w:p>
      <w:pPr>
        <w:spacing w:after="0" w:line="9" w:lineRule="exact"/>
        <w:rPr>
          <w:rFonts w:ascii="Arial" w:cs="Arial" w:eastAsia="Arial" w:hAnsi="Arial"/>
          <w:sz w:val="18"/>
          <w:szCs w:val="18"/>
          <w:color w:val="auto"/>
        </w:rPr>
      </w:pPr>
    </w:p>
    <w:p>
      <w:pPr>
        <w:ind w:left="680" w:hanging="334"/>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variations in sales of titles designed to operate on particular platforms;</w:t>
      </w:r>
    </w:p>
    <w:p>
      <w:pPr>
        <w:spacing w:after="0" w:line="9" w:lineRule="exact"/>
        <w:rPr>
          <w:rFonts w:ascii="Arial" w:cs="Arial" w:eastAsia="Arial" w:hAnsi="Arial"/>
          <w:sz w:val="18"/>
          <w:szCs w:val="18"/>
          <w:color w:val="auto"/>
        </w:rPr>
      </w:pPr>
    </w:p>
    <w:p>
      <w:pPr>
        <w:ind w:left="680" w:hanging="334"/>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 and promotional expenses relating to the introduction of new titles;</w:t>
      </w:r>
    </w:p>
    <w:p>
      <w:pPr>
        <w:spacing w:after="0" w:line="9" w:lineRule="exact"/>
        <w:rPr>
          <w:rFonts w:ascii="Arial" w:cs="Arial" w:eastAsia="Arial" w:hAnsi="Arial"/>
          <w:sz w:val="18"/>
          <w:szCs w:val="18"/>
          <w:color w:val="auto"/>
        </w:rPr>
      </w:pPr>
    </w:p>
    <w:p>
      <w:pPr>
        <w:ind w:left="680" w:hanging="334"/>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of hardware platforms;</w:t>
      </w:r>
    </w:p>
    <w:p>
      <w:pPr>
        <w:spacing w:after="0" w:line="9" w:lineRule="exact"/>
        <w:rPr>
          <w:rFonts w:ascii="Arial" w:cs="Arial" w:eastAsia="Arial" w:hAnsi="Arial"/>
          <w:sz w:val="18"/>
          <w:szCs w:val="18"/>
          <w:color w:val="auto"/>
        </w:rPr>
      </w:pPr>
    </w:p>
    <w:p>
      <w:pPr>
        <w:ind w:left="680" w:hanging="334"/>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and success of title introductions by our competitors;</w:t>
      </w:r>
    </w:p>
    <w:p>
      <w:pPr>
        <w:spacing w:after="0" w:line="9" w:lineRule="exact"/>
        <w:rPr>
          <w:rFonts w:ascii="Arial" w:cs="Arial" w:eastAsia="Arial" w:hAnsi="Arial"/>
          <w:sz w:val="18"/>
          <w:szCs w:val="18"/>
          <w:color w:val="auto"/>
        </w:rPr>
      </w:pPr>
    </w:p>
    <w:p>
      <w:pPr>
        <w:ind w:left="680" w:hanging="334"/>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returns and price concessions; and</w:t>
      </w:r>
    </w:p>
    <w:p>
      <w:pPr>
        <w:spacing w:after="0" w:line="9" w:lineRule="exact"/>
        <w:rPr>
          <w:rFonts w:ascii="Arial" w:cs="Arial" w:eastAsia="Arial" w:hAnsi="Arial"/>
          <w:sz w:val="18"/>
          <w:szCs w:val="18"/>
          <w:color w:val="auto"/>
        </w:rPr>
      </w:pPr>
    </w:p>
    <w:p>
      <w:pPr>
        <w:ind w:left="680" w:hanging="334"/>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orders from major customers.</w:t>
      </w:r>
    </w:p>
    <w:p>
      <w:pPr>
        <w:spacing w:after="0" w:line="21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expense levels are based, in part, on our expectations regarding future sales and therefore our operating results would be harmed by a decrease in sales or a failure to meet our sales expectations. The uncertainties associated with interactive entertainment software development, manufacturing lead times, production delays and the approval process for products by hardware manufacturers and other licensors make it difficult to predict the quarter in which our products will ship and therefore may cause us to fail to meet financial expectations. In future quarters our operating results may fall below the expectations of securities analysts and investors. In this event, the market price of our common stock could significantly decline.</w:t>
      </w:r>
    </w:p>
    <w:p>
      <w:pPr>
        <w:spacing w:after="0" w:line="1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Our business is cyclical, and we may fail to anticipate changing consumer preferences. </w:t>
      </w:r>
      <w:r>
        <w:rPr>
          <w:rFonts w:ascii="Arial" w:cs="Arial" w:eastAsia="Arial" w:hAnsi="Arial"/>
          <w:sz w:val="18"/>
          <w:szCs w:val="18"/>
          <w:color w:val="auto"/>
        </w:rPr>
        <w:t>Our business is subject to all of the risks generally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interactive entertainment software industry, which has been cyclical in nature and has been characterized by periods of significant growth followed by rapid declines. Our future operating results will depend on numerous factors beyond our control, including:</w:t>
      </w:r>
    </w:p>
    <w:p>
      <w:pPr>
        <w:spacing w:after="0" w:line="194" w:lineRule="exact"/>
        <w:rPr>
          <w:sz w:val="20"/>
          <w:szCs w:val="20"/>
          <w:color w:val="auto"/>
        </w:rPr>
      </w:pPr>
    </w:p>
    <w:p>
      <w:pPr>
        <w:ind w:left="680" w:hanging="334"/>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popularity, price and timing of new software and hardware platforms being released and distributed by us and our competitors;</w:t>
      </w:r>
    </w:p>
    <w:p>
      <w:pPr>
        <w:spacing w:after="0" w:line="15" w:lineRule="exact"/>
        <w:rPr>
          <w:rFonts w:ascii="Arial" w:cs="Arial" w:eastAsia="Arial" w:hAnsi="Arial"/>
          <w:sz w:val="18"/>
          <w:szCs w:val="18"/>
          <w:color w:val="auto"/>
        </w:rPr>
      </w:pPr>
    </w:p>
    <w:p>
      <w:pPr>
        <w:ind w:left="680" w:hanging="334"/>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international, national and regional economic conditions, particularly economic conditions adversely affecting discretionary consumer spending;</w:t>
      </w:r>
    </w:p>
    <w:p>
      <w:pPr>
        <w:spacing w:after="0" w:line="32" w:lineRule="exact"/>
        <w:rPr>
          <w:rFonts w:ascii="Arial" w:cs="Arial" w:eastAsia="Arial" w:hAnsi="Arial"/>
          <w:sz w:val="16"/>
          <w:szCs w:val="16"/>
          <w:color w:val="auto"/>
        </w:rPr>
      </w:pPr>
    </w:p>
    <w:p>
      <w:pPr>
        <w:ind w:left="680" w:hanging="334"/>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military action, which could adversely affect consumer preferences in entertainment;</w:t>
      </w:r>
    </w:p>
    <w:p>
      <w:pPr>
        <w:spacing w:after="0" w:line="9" w:lineRule="exact"/>
        <w:rPr>
          <w:rFonts w:ascii="Arial" w:cs="Arial" w:eastAsia="Arial" w:hAnsi="Arial"/>
          <w:sz w:val="18"/>
          <w:szCs w:val="18"/>
          <w:color w:val="auto"/>
        </w:rPr>
      </w:pPr>
    </w:p>
    <w:p>
      <w:pPr>
        <w:ind w:left="680" w:hanging="334"/>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demographics;</w:t>
      </w:r>
    </w:p>
    <w:p>
      <w:pPr>
        <w:spacing w:after="0" w:line="9" w:lineRule="exact"/>
        <w:rPr>
          <w:rFonts w:ascii="Arial" w:cs="Arial" w:eastAsia="Arial" w:hAnsi="Arial"/>
          <w:sz w:val="18"/>
          <w:szCs w:val="18"/>
          <w:color w:val="auto"/>
        </w:rPr>
      </w:pPr>
    </w:p>
    <w:p>
      <w:pPr>
        <w:ind w:left="680" w:hanging="334"/>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and popularity of other forms of entertainment; and</w:t>
      </w:r>
    </w:p>
    <w:p>
      <w:pPr>
        <w:spacing w:after="0" w:line="9" w:lineRule="exact"/>
        <w:rPr>
          <w:rFonts w:ascii="Arial" w:cs="Arial" w:eastAsia="Arial" w:hAnsi="Arial"/>
          <w:sz w:val="18"/>
          <w:szCs w:val="18"/>
          <w:color w:val="auto"/>
        </w:rPr>
      </w:pPr>
    </w:p>
    <w:p>
      <w:pPr>
        <w:ind w:left="680" w:hanging="334"/>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critical reviews and public tastes and preferences, all of which change rapidly and cannot be predicted.</w:t>
      </w:r>
    </w:p>
    <w:p>
      <w:pPr>
        <w:spacing w:after="0" w:line="21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order to plan for acquisition and promotional activities, we must anticipate and respond to rapid changes in consumer tastes and preferences. A decline in the popularity of interactive entertainment software or particular platforms could cause sales of our titles to decline dramatically. The period of time necessary to develop new game titles, obtain approvals of manufacturers and produce finished products is unpredictable. During this period, consumer appeal for a particular title may decrease, causing product sales to fall short of expectations.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i w:val="1"/>
          <w:iCs w:val="1"/>
          <w:color w:val="auto"/>
        </w:rPr>
        <w:t xml:space="preserve">Rapidly changing technology and platform shifts could hurt our operating results. </w:t>
      </w:r>
      <w:r>
        <w:rPr>
          <w:rFonts w:ascii="Arial" w:cs="Arial" w:eastAsia="Arial" w:hAnsi="Arial"/>
          <w:sz w:val="16"/>
          <w:szCs w:val="16"/>
          <w:color w:val="auto"/>
        </w:rPr>
        <w:t>The interactive entertainment industry in general is associated with rapidly</w:t>
      </w:r>
      <w:r>
        <w:rPr>
          <w:rFonts w:ascii="Arial" w:cs="Arial" w:eastAsia="Arial" w:hAnsi="Arial"/>
          <w:sz w:val="16"/>
          <w:szCs w:val="16"/>
          <w:i w:val="1"/>
          <w:iCs w:val="1"/>
          <w:color w:val="auto"/>
        </w:rPr>
        <w:t xml:space="preserve"> </w:t>
      </w:r>
      <w:r>
        <w:rPr>
          <w:rFonts w:ascii="Arial" w:cs="Arial" w:eastAsia="Arial" w:hAnsi="Arial"/>
          <w:sz w:val="16"/>
          <w:szCs w:val="16"/>
          <w:color w:val="auto"/>
        </w:rPr>
        <w:t>changing technology. As more advanced platforms achieve market acceptance, consumer demand for software for older platforms declines.</w:t>
      </w:r>
    </w:p>
    <w:p>
      <w:pPr>
        <w:spacing w:after="0" w:line="13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are continuing to devote significant development resources primarily on products designed for Sony’s PlayStation 2 and Microsoft’s Xbox. If consumer demand for these platforms declines generally or as a result of the next hardware transition cycle, we may experience lower than expected sales or losses from products designed for these platforms.</w:t>
      </w:r>
    </w:p>
    <w:p>
      <w:pPr>
        <w:spacing w:after="0" w:line="19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also have begun to devote significant development resources on products designed for next-generation hardware platforms, initially for Microsoft’s Xbox 2. It is difficult to anticipate hardware development cycles and we must make software development commitments and investment decisions well in advance of the introduction of new hardware platforms. If new hardware platforms are delayed or do not achieve consumer acceptance, we may not be able to recover our investments and our business and financial results could be materially adversely affected.</w:t>
      </w:r>
    </w:p>
    <w:p>
      <w:pPr>
        <w:spacing w:after="0" w:line="16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 number of software publishers who compete with us have developed or are currently developing software for use by consumers over the Internet. Future increases in the availability of such software or technological advances in such software or the Internet could result in a decline in platform-based software and impact our sales. Direct sales of software by major publishers over the Internet would materially adversely affect our distribution business.</w:t>
      </w:r>
    </w:p>
    <w:p>
      <w:pPr>
        <w:spacing w:after="0" w:line="16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Our expansion into the market for sports and other licensed titles may not be successful</w:t>
      </w:r>
      <w:r>
        <w:rPr>
          <w:rFonts w:ascii="Arial" w:cs="Arial" w:eastAsia="Arial" w:hAnsi="Arial"/>
          <w:sz w:val="16"/>
          <w:szCs w:val="16"/>
          <w:color w:val="auto"/>
        </w:rPr>
        <w:t>. We are seeking to diversify our product offerings by capitalizing on</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growth opportunities in the market for sports and other licensed action and strategy titles. Our success in this market will depend in part on our ability to attract licensors with popular properties and to enter into favorable arrangements with these licensors, including with licensors representing the major sports leagues and players associations. Competition for sports and other licensed properties is intense. If we are unable to obtain and maintain licenses to popular properties, our revenue and profitability with respect to these products could decline dramatically. Competition for these licenses also may increase advances and royalties payable to licensors. We may be unable to enter into favorable license agreements, and our efforts to diversify our product offerings may not result in increased revenues or profitability.</w:t>
      </w:r>
    </w:p>
    <w:p>
      <w:pPr>
        <w:spacing w:after="0" w:line="17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Our business is dependent on publishing arrangements with third parties. </w:t>
      </w:r>
      <w:r>
        <w:rPr>
          <w:rFonts w:ascii="Arial" w:cs="Arial" w:eastAsia="Arial" w:hAnsi="Arial"/>
          <w:sz w:val="18"/>
          <w:szCs w:val="18"/>
          <w:color w:val="auto"/>
        </w:rPr>
        <w:t>Our success depends on our ability to identify and develop new titles on a timely basis.</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entered into agreements with third parties to acquire the rights to publish and distribute interactive entertainment software. These agreements typically require us to make advance payments, pay royalties and satisfy other conditions. Our advance payments may not be sufficient to permit developers to develop new software successfully.</w:t>
      </w:r>
    </w:p>
    <w:p>
      <w:pPr>
        <w:spacing w:after="0" w:line="197"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Software development costs, promotion and marketing expenses and royalties payable to software developers have increased significantly in recent years, and reduce potential profits derived from sales of our software. We expect that the costs associated with the development of next generation software will increase significantly. Future sales of our titles may not be sufficient to recover advances to software developers, and we may not have adequate financial and other resources to satisfy our contractual commitments. If we fail to satisfy our obligations under agreements with third-party developers, the agreements may be terminated or modified in ways that may be burdensome to us.</w:t>
      </w:r>
    </w:p>
    <w:p>
      <w:pPr>
        <w:spacing w:after="0" w:line="170" w:lineRule="exact"/>
        <w:rPr>
          <w:sz w:val="20"/>
          <w:szCs w:val="20"/>
          <w:color w:val="auto"/>
        </w:rPr>
      </w:pPr>
    </w:p>
    <w:p>
      <w:pPr>
        <w:spacing w:after="0" w:line="314" w:lineRule="auto"/>
        <w:rPr>
          <w:sz w:val="20"/>
          <w:szCs w:val="20"/>
          <w:color w:val="auto"/>
        </w:rPr>
      </w:pPr>
      <w:r>
        <w:rPr>
          <w:rFonts w:ascii="Arial" w:cs="Arial" w:eastAsia="Arial" w:hAnsi="Arial"/>
          <w:sz w:val="15"/>
          <w:szCs w:val="15"/>
          <w:i w:val="1"/>
          <w:iCs w:val="1"/>
          <w:color w:val="auto"/>
        </w:rPr>
        <w:t xml:space="preserve">Returns of our published titles and price concessions may adversely affect our operating results. </w:t>
      </w:r>
      <w:r>
        <w:rPr>
          <w:rFonts w:ascii="Arial" w:cs="Arial" w:eastAsia="Arial" w:hAnsi="Arial"/>
          <w:sz w:val="15"/>
          <w:szCs w:val="15"/>
          <w:color w:val="auto"/>
        </w:rPr>
        <w:t>We are exposed to the risk of product returns and price</w:t>
      </w:r>
      <w:r>
        <w:rPr>
          <w:rFonts w:ascii="Arial" w:cs="Arial" w:eastAsia="Arial" w:hAnsi="Arial"/>
          <w:sz w:val="15"/>
          <w:szCs w:val="15"/>
          <w:i w:val="1"/>
          <w:iCs w:val="1"/>
          <w:color w:val="auto"/>
        </w:rPr>
        <w:t xml:space="preserve"> </w:t>
      </w:r>
      <w:r>
        <w:rPr>
          <w:rFonts w:ascii="Arial" w:cs="Arial" w:eastAsia="Arial" w:hAnsi="Arial"/>
          <w:sz w:val="15"/>
          <w:szCs w:val="15"/>
          <w:color w:val="auto"/>
        </w:rPr>
        <w:t>concessions with respect to our customers. Our distribution arrangements with customers generally do not give them the right to return titles to us or to cancel firm orders. However, we sometimes accept product returns from our distribution customers for stock balancing and negotiate accommodations to customers which include credits and returns, when demand for specific products falls below expectations. We accept returns and grant price concessions in connection with our publishing arrangements. Revenue is recognized after deducting estimated reserves for returns and price concessions. We believe that we can reliably estimate future returns and price concessions. However, if return rates and price concessions for our published titles exceed our reserves, our revenues will decline.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The interactive entertainment software industry is highly competitive. </w:t>
      </w:r>
      <w:r>
        <w:rPr>
          <w:rFonts w:ascii="Arial" w:cs="Arial" w:eastAsia="Arial" w:hAnsi="Arial"/>
          <w:sz w:val="16"/>
          <w:szCs w:val="16"/>
          <w:color w:val="auto"/>
        </w:rPr>
        <w:t>We compete for both licenses to properties and the sale of interactive entertainment</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with Sony, Microsoft and Nintendo, each of which is a large developer and marketer of software for its own platforms. Each of these competitors has the financial resources to withstand significant price competition and to implement extensive advertising campaigns, particularly for prime-time television spots. These companies may also increase their own software development efforts or focus on developing software products for third-party platforms. We also compete with domestic companies such as Electronic Arts, Activision, THQ, Midway Games and Atari and international companies such as SEGA, Vivendi, Ubi Soft, Eidos, Capcom, Konami and Namco. Some of our competitors have greater financial, technical, personnel and other resources than we do, and are able to carry larger inventories and make higher offers to licensors and developers for commercially desirable properties than we can. Our titles also compete with other forms of entertainment such as motion pictures, television and audio and video products featuring similar themes, online computer programs and forms of entertainment which may be less expensive or provide other advantages to consumers.</w:t>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distribution business also operates in a highly competitive environment. The intense competition that characterizes our industry is based primarily on breadth, availability and quality of product lines; price; terms and conditions of sale; credit terms and availability; speed and accuracy of delivery; and effectiveness of sales and marketing programs. Our competitors include regional, national and international distributors, as well as hardware manufacturers and software publishers. We may lose market share or be forced in the future to reduce our prices in response to the actions of our competitors, and thereby experience a reduction in our gross margins.</w:t>
      </w:r>
    </w:p>
    <w:p>
      <w:pPr>
        <w:spacing w:after="0" w:line="1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Increased competition for limited shelf space and promotional support from retailers could affect the success of our business and require us to incur greater expenses to market our titles. </w:t>
      </w:r>
      <w:r>
        <w:rPr>
          <w:rFonts w:ascii="Arial" w:cs="Arial" w:eastAsia="Arial" w:hAnsi="Arial"/>
          <w:sz w:val="18"/>
          <w:szCs w:val="18"/>
          <w:color w:val="auto"/>
        </w:rPr>
        <w:t>Retailers have limited shelf space and promotional resources, and competition is intense among an increasing number of newly</w:t>
      </w:r>
      <w:r>
        <w:rPr>
          <w:rFonts w:ascii="Arial" w:cs="Arial" w:eastAsia="Arial" w:hAnsi="Arial"/>
          <w:sz w:val="18"/>
          <w:szCs w:val="18"/>
          <w:i w:val="1"/>
          <w:iCs w:val="1"/>
          <w:color w:val="auto"/>
        </w:rPr>
        <w:t xml:space="preserve"> </w:t>
      </w:r>
      <w:r>
        <w:rPr>
          <w:rFonts w:ascii="Arial" w:cs="Arial" w:eastAsia="Arial" w:hAnsi="Arial"/>
          <w:sz w:val="18"/>
          <w:szCs w:val="18"/>
          <w:color w:val="auto"/>
        </w:rPr>
        <w:t>introduced interactive entertainment software titles for adequate levels of shelf space and promotional support. Competition for retail shelf space is expected to increase, which may require us to increase our marketing expenditures to maintain current levels of sales of our titles. Competitors with more extensive lines and popular titles may have greater bargaining power with retailers. Accordingly, we may not be able to achieve the levels of promotional support and shelf space that such competitors receive.</w:t>
      </w:r>
    </w:p>
    <w:p>
      <w:pPr>
        <w:spacing w:after="0" w:line="19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A limited number of customers account for a significant portion of our sales. </w:t>
      </w:r>
      <w:r>
        <w:rPr>
          <w:rFonts w:ascii="Arial" w:cs="Arial" w:eastAsia="Arial" w:hAnsi="Arial"/>
          <w:sz w:val="16"/>
          <w:szCs w:val="16"/>
          <w:color w:val="auto"/>
        </w:rPr>
        <w:t>Sales to our five largest customers accounted for approximately 38.9% and 38.6% of</w:t>
      </w:r>
      <w:r>
        <w:rPr>
          <w:rFonts w:ascii="Arial" w:cs="Arial" w:eastAsia="Arial" w:hAnsi="Arial"/>
          <w:sz w:val="16"/>
          <w:szCs w:val="16"/>
          <w:i w:val="1"/>
          <w:iCs w:val="1"/>
          <w:color w:val="auto"/>
        </w:rPr>
        <w:t xml:space="preserve"> </w:t>
      </w:r>
      <w:r>
        <w:rPr>
          <w:rFonts w:ascii="Arial" w:cs="Arial" w:eastAsia="Arial" w:hAnsi="Arial"/>
          <w:sz w:val="16"/>
          <w:szCs w:val="16"/>
          <w:color w:val="auto"/>
        </w:rPr>
        <w:t>our revenues, respectively, for the years ended October 31, 2004 and 2003. For the year ended October 31, 2004, sales of our products to Wal-Mart accounted for 10.4% of our revenues. Our sales are made primarily pursuant to purchase orders without long-term agreements or other commitments. Our customers may terminate their relationship with us at any time. The loss of our relationships with principal customers or a decline in sales to principal customers could harm our operating results. Bankruptcies or consolidations of certain large retail customers could also seriously hurt our business.</w:t>
      </w:r>
    </w:p>
    <w:p>
      <w:pPr>
        <w:spacing w:after="0" w:line="17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i w:val="1"/>
          <w:iCs w:val="1"/>
          <w:color w:val="auto"/>
        </w:rPr>
        <w:t xml:space="preserve">We are subject to credit and collection risks. </w:t>
      </w:r>
      <w:r>
        <w:rPr>
          <w:rFonts w:ascii="Arial" w:cs="Arial" w:eastAsia="Arial" w:hAnsi="Arial"/>
          <w:sz w:val="16"/>
          <w:szCs w:val="16"/>
          <w:color w:val="auto"/>
        </w:rPr>
        <w:t>Our sales are typically made on credit. We do not hold any collateral to secure payment by our customers.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we are subject to credit risks, particularly in the event that any of our receivables represent sales to a limited number of retailers or are concentrated in foreign markets. Although we continually assess the creditworthiness of our customers, which are principally large, national retailers, if we are unable to collect our accounts receivable as they become due, it could adversely affect our financial condition.</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Rating systems for interactive entertainment software, potential legislation and consumer opposition could inhibit sales of our products. </w:t>
      </w:r>
      <w:r>
        <w:rPr>
          <w:rFonts w:ascii="Arial" w:cs="Arial" w:eastAsia="Arial" w:hAnsi="Arial"/>
          <w:sz w:val="16"/>
          <w:szCs w:val="16"/>
          <w:color w:val="auto"/>
        </w:rPr>
        <w:t>Trade organizations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within the video game industry require interactive entertainment software publishers to provide consumers with information relating to graphic violence, profanity or sexually explicit material contained in software titles, and impose penalties for noncompliance. Certain countries have also established similar rating systems as prerequisites for sales of interactive entertainment software in such countries. In some instances, we may be required to modify our products to comply with the requirements of such rating systems, which could delay the release of those products in such countries. Our software titles receive a rating of “E” (age 6 and older), “T” (age 13 and over) or “M” (age 17 and over). Most of our new titles (including our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titles, </w:t>
      </w:r>
      <w:r>
        <w:rPr>
          <w:rFonts w:ascii="Arial" w:cs="Arial" w:eastAsia="Arial" w:hAnsi="Arial"/>
          <w:sz w:val="16"/>
          <w:szCs w:val="16"/>
          <w:i w:val="1"/>
          <w:iCs w:val="1"/>
          <w:color w:val="auto"/>
        </w:rPr>
        <w:t>Max Payne 2: The Fall of Max Payne,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Manhunt </w:t>
      </w:r>
      <w:r>
        <w:rPr>
          <w:rFonts w:ascii="Arial" w:cs="Arial" w:eastAsia="Arial" w:hAnsi="Arial"/>
          <w:sz w:val="16"/>
          <w:szCs w:val="16"/>
          <w:color w:val="auto"/>
        </w:rPr>
        <w:t>and</w:t>
      </w:r>
      <w:r>
        <w:rPr>
          <w:rFonts w:ascii="Arial" w:cs="Arial" w:eastAsia="Arial" w:hAnsi="Arial"/>
          <w:sz w:val="16"/>
          <w:szCs w:val="16"/>
          <w:i w:val="1"/>
          <w:iCs w:val="1"/>
          <w:color w:val="auto"/>
        </w:rPr>
        <w:t xml:space="preserve"> Mafia</w:t>
      </w:r>
      <w:r>
        <w:rPr>
          <w:rFonts w:ascii="Arial" w:cs="Arial" w:eastAsia="Arial" w:hAnsi="Arial"/>
          <w:sz w:val="16"/>
          <w:szCs w:val="16"/>
          <w:color w:val="auto"/>
        </w:rPr>
        <w:t>) have received an M rating. We believe that we comply with such rating systems and properly display the ratings and content descriptions</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for our titles.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Several proposals have been made for federal legislation to regulate the interactive entertainment software, motion picture and recording industries, including a proposal to adopt a common rating system for interactive entertainment software, television and music containing violence or sexually explicit material, and the Federal Trade Commission has issued reports with respect to the marketing of such material to under-17 audiences. Consumer advocacy groups have also opposed sales of interactive entertainment software containing graphic violence or sexually explicit material by pressing for legislation in these areas (including legislation prohibiting the sale of certain “M” rated video games to under-17 audiences) and by engaging in public demonstrations and media campaigns. Retailers may decline to sell interactive entertainment software containing graphic violence or sexually explicit material, which may limit the potential market for our “M” rated products, and adversely affect our operating results. If any groups (including international, national and local political and regulatory bodies) were to target our “M” rated titles, we might be required to significantly change or discontinue a particular title, which in the case of our best selling titles could seriously hurt our business. Although lawsuits seeking damages for injuries allegedly suffered by third parties as a result of video games have been unsuccessful, a claim of this kind has been asserted against us.</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We cannot publish our console titles without the approval of hardware manufacturers. </w:t>
      </w:r>
      <w:r>
        <w:rPr>
          <w:rFonts w:ascii="Arial" w:cs="Arial" w:eastAsia="Arial" w:hAnsi="Arial"/>
          <w:sz w:val="16"/>
          <w:szCs w:val="16"/>
          <w:color w:val="auto"/>
        </w:rPr>
        <w:t>We are required to obtain a license from Sony, Microsoft and Nintendo, our</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competitors, to develop and publish titles for their respective hardware platforms. Our existing hardware console platform licenses require that we obtain approval for the publication of new titles on a title-by-title basis. As a result, the number of titles we are able to publish for these hardware platforms, along with our ability to time the release of these titles and, accordingly, our net sales from titles for these hardware platforms, may be limited. If any manufacturer chooses not to renew or extend our license agreement at the end of its current term, or if the manufacturer were to terminate our license for any reason, we would be unable to publish additional titles for that manufacturer’s hardware platform. Termination of any such agreements would seriously hurt our business.</w:t>
      </w:r>
    </w:p>
    <w:p>
      <w:pPr>
        <w:spacing w:after="0" w:line="17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License agreements relating to these rights generally extend for a term of three or four years and are automatically renewable for successive one-year terms. The agreements are terminable upon the occurrence of a number of factors, including: (1) breach of the agreement by us; (2) our bankruptcy or insolvency; or (3) our entry into a relationship with, or acquisition by, a competitor of the manufacturer. We cannot assure you that we will be able to obtain new or maintain existing licenses on acceptable terms, or at all.</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Sony and Nintendo are the sole manufacturers of the titles we publish under license from them. Games for the Xbox must be manufactured by pre-approved manufacturers. Each platform license provides that the manufacturer may raise prices for the titles at any time and grants the manufacturer substantial control over the release of new titles. Each of these manufacturers also publishes software for its own platforms and manufactures titles for all of its other licensees and may choose to give priority to its own titles or those of other publishers if it has insufficient manufacturing capacity or if there is increased demand for its or other publishers’ products.</w:t>
      </w:r>
    </w:p>
    <w:p>
      <w:pPr>
        <w:spacing w:after="0" w:line="1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these manufacturers may not have sufficient production capacity to satisfy our scheduling requirements during any period of sustained demand. If manufacturers do not supply us with finished titles on favorable terms without delays, our operations would be materially interrupted, and we would be unable to obtain sufficient amounts of our product to sell to our customers. If we cannot obtain sufficient product supplies, our net sales will decline and we could incur losses.</w:t>
      </w:r>
    </w:p>
    <w:p>
      <w:pPr>
        <w:spacing w:after="0" w:line="197"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We may not be able to protect our proprietary rights or avoid claims that we infringe on the proprietary rights of others. </w:t>
      </w:r>
      <w:r>
        <w:rPr>
          <w:rFonts w:ascii="Arial" w:cs="Arial" w:eastAsia="Arial" w:hAnsi="Arial"/>
          <w:sz w:val="18"/>
          <w:szCs w:val="18"/>
          <w:color w:val="auto"/>
        </w:rPr>
        <w:t>We develop proprietary software and</w:t>
      </w:r>
      <w:r>
        <w:rPr>
          <w:rFonts w:ascii="Arial" w:cs="Arial" w:eastAsia="Arial" w:hAnsi="Arial"/>
          <w:sz w:val="18"/>
          <w:szCs w:val="18"/>
          <w:i w:val="1"/>
          <w:iCs w:val="1"/>
          <w:color w:val="auto"/>
        </w:rPr>
        <w:t xml:space="preserve"> </w:t>
      </w:r>
      <w:r>
        <w:rPr>
          <w:rFonts w:ascii="Arial" w:cs="Arial" w:eastAsia="Arial" w:hAnsi="Arial"/>
          <w:sz w:val="18"/>
          <w:szCs w:val="18"/>
          <w:color w:val="auto"/>
        </w:rPr>
        <w:t>have obtained the rights to publish and distribute software developed by third parties. We attempt to protect our software and production techniques under copyright, trademark and trade secret laws as well as through contractual restrictions on disclosure, copying and distribution. Our software is susceptible to piracy and unauthorized copying. Unauthorized third parties may be able to copy or to reverse engineer our software to obtain and use programming or production techniques that we regard as proprietary. Well organized piracy operations have proliferated in recent years as a result of the ability to download pirated copies of our software over the Internet. Although we attempt to incorporate protective measures into our software, piracy of our products could negatively impact our future profitability.</w:t>
      </w:r>
    </w:p>
    <w:p>
      <w:pPr>
        <w:spacing w:after="0" w:line="20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the amount of interactive entertainment software titles in the market increases and the functionality of this software further overlaps, we believe that interactive entertainment software will increasingly become the subject of claims that such software infringes the copyrights or patents of others. From time to time, we receive notices from third parties or are named in lawsuits by third parties alleging infringement of their proprietary rights. Although we believe that our software and technologies and the software and technologies of third-party developers and publishers with whom we have contractual relations do not and will not infringe or violate proprietary rights of others, it is possible that infringement of proprietary rights of others has or may occur. Any claims of infringement, with or without merit, could be time consuming, costly and difficult to defend. Moreover, intellectual property litigation or claims could require us to discontinue the distribution of products, obtain a license or redesign our products, which could result in additional substantial costs and material delays.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 xml:space="preserve">We are dependent on third-party software developers to complete certain of our titles. </w:t>
      </w:r>
      <w:r>
        <w:rPr>
          <w:rFonts w:ascii="Arial" w:cs="Arial" w:eastAsia="Arial" w:hAnsi="Arial"/>
          <w:sz w:val="16"/>
          <w:szCs w:val="16"/>
          <w:color w:val="auto"/>
        </w:rPr>
        <w:t>We rely on third-party software developers for the development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of our titles. Quality third-party developers are continually in high demand. Software developers who have developed titles for us in the past may not be available to develop software for us in the future. Due to the limited number of third-party software developers and the limited control that we exercise over them, these developers may not be able to complete titles for us on a timely basis or within acceptable quality standards, if at all.</w:t>
      </w:r>
    </w:p>
    <w:p>
      <w:pPr>
        <w:spacing w:after="0" w:line="16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depend on third-party software developers and our internal development studios to develop new interactive entertainment software within anticipated release schedules and cost projections. The development cycle for new titles ranges from twelve to twenty-four months. After development of a product, it may take between nine to twelve additional months to develop the product for other hardware platforms. If developers experience financial difficulties, additional costs or unanticipated development delays, we will not be able to release titles according to our schedule.</w:t>
      </w:r>
    </w:p>
    <w:p>
      <w:pPr>
        <w:spacing w:after="0" w:line="16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Our software is susceptible to errors, which can harm our financial results and reputation. </w:t>
      </w:r>
      <w:r>
        <w:rPr>
          <w:rFonts w:ascii="Arial" w:cs="Arial" w:eastAsia="Arial" w:hAnsi="Arial"/>
          <w:sz w:val="18"/>
          <w:szCs w:val="18"/>
          <w:color w:val="auto"/>
        </w:rPr>
        <w:t>The technological advancements of new hardware platforms allow for</w:t>
      </w:r>
      <w:r>
        <w:rPr>
          <w:rFonts w:ascii="Arial" w:cs="Arial" w:eastAsia="Arial" w:hAnsi="Arial"/>
          <w:sz w:val="18"/>
          <w:szCs w:val="18"/>
          <w:i w:val="1"/>
          <w:iCs w:val="1"/>
          <w:color w:val="auto"/>
        </w:rPr>
        <w:t xml:space="preserve"> </w:t>
      </w:r>
      <w:r>
        <w:rPr>
          <w:rFonts w:ascii="Arial" w:cs="Arial" w:eastAsia="Arial" w:hAnsi="Arial"/>
          <w:sz w:val="18"/>
          <w:szCs w:val="18"/>
          <w:color w:val="auto"/>
        </w:rPr>
        <w:t>more complex software products. As software products become more complex, the risk of undetected errors in products when first introduced increases. If, despite testing, errors are found in new products or releases after shipments have been made, we could experience a loss of or delay in timely market acceptance, product returns, loss of revenues and damage to our reputation.</w:t>
      </w:r>
    </w:p>
    <w:p>
      <w:pPr>
        <w:spacing w:after="0" w:line="19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 xml:space="preserve">Gross margins relating to our distribution business have been historically narrow which increases the impact of variations in costs on our operating results. </w:t>
      </w:r>
      <w:r>
        <w:rPr>
          <w:rFonts w:ascii="Arial" w:cs="Arial" w:eastAsia="Arial" w:hAnsi="Arial"/>
          <w:sz w:val="16"/>
          <w:szCs w:val="16"/>
          <w:color w:val="auto"/>
        </w:rPr>
        <w:t>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intense price competition, our gross margins in our distribution business have historically been narrow and may continue to be narrow in the future. Accordingly, slight variations in operating costs and expenses could result in losses in our distribution business from period to period.</w:t>
      </w:r>
    </w:p>
    <w:p>
      <w:pPr>
        <w:spacing w:after="0" w:line="16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 xml:space="preserve">We may not be able to adequately adjust our cost structure in a timely fashion in response to a sudden decrease in demand. </w:t>
      </w:r>
      <w:r>
        <w:rPr>
          <w:rFonts w:ascii="Arial" w:cs="Arial" w:eastAsia="Arial" w:hAnsi="Arial"/>
          <w:sz w:val="18"/>
          <w:szCs w:val="18"/>
          <w:color w:val="auto"/>
        </w:rPr>
        <w:t>A significant portion of our selling</w:t>
      </w:r>
      <w:r>
        <w:rPr>
          <w:rFonts w:ascii="Arial" w:cs="Arial" w:eastAsia="Arial" w:hAnsi="Arial"/>
          <w:sz w:val="18"/>
          <w:szCs w:val="18"/>
          <w:i w:val="1"/>
          <w:iCs w:val="1"/>
          <w:color w:val="auto"/>
        </w:rPr>
        <w:t xml:space="preserve"> </w:t>
      </w:r>
      <w:r>
        <w:rPr>
          <w:rFonts w:ascii="Arial" w:cs="Arial" w:eastAsia="Arial" w:hAnsi="Arial"/>
          <w:sz w:val="18"/>
          <w:szCs w:val="18"/>
          <w:color w:val="auto"/>
        </w:rPr>
        <w:t>and general and administrative expense is comprised of personnel and facilities. In the event of a significant decline in net sales, we may not be able to exit facilities, reduce personnel, or make other significant changes to our cost structure without significant disruption to our operations or without significant termination and exit costs. Management may not be able to implement such actions in a timely manner, if at all, to offset an immediate shortfall in net sales and gross profit.</w:t>
      </w:r>
    </w:p>
    <w:p>
      <w:pPr>
        <w:spacing w:after="0" w:line="19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i w:val="1"/>
          <w:iCs w:val="1"/>
          <w:color w:val="auto"/>
        </w:rPr>
        <w:t xml:space="preserve">Our distribution business is dependent on suppliers to maintain an adequate supply of products to fulfill customer orders on a timely basis. </w:t>
      </w:r>
      <w:r>
        <w:rPr>
          <w:rFonts w:ascii="Arial" w:cs="Arial" w:eastAsia="Arial" w:hAnsi="Arial"/>
          <w:sz w:val="16"/>
          <w:szCs w:val="16"/>
          <w:color w:val="auto"/>
        </w:rPr>
        <w:t>Our ability to obtain</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 products in required quantities and to fulfill customer orders on a timely basis is critical to our success. In most cases, we have no guaranteed price or delivery agreements with suppliers. In certain product categories, limited price concessions or return rights offered by publishers may have a bearing on the amount of product we may be willing to purchase. Our industry may experience significant hardware supply shortages from time to time due to the inability of certain manufacturers to supply certain products on a timely basis. As a result, we have experienced, and may in the future continue to experience, short-term hardware inventory shortages. In addition, manufacturers or publishers who currently distribute their products through us may decide to distribute, or to substantially increase their existing distribution, through other distributors, or directly to retailers.</w:t>
      </w:r>
    </w:p>
    <w:p>
      <w:pPr>
        <w:spacing w:after="0" w:line="172"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We are subject to the risk that our inventory values may decline and protective terms under supplier arrangements may not adequately cover the decline in values. </w:t>
      </w:r>
      <w:r>
        <w:rPr>
          <w:rFonts w:ascii="Arial" w:cs="Arial" w:eastAsia="Arial" w:hAnsi="Arial"/>
          <w:sz w:val="16"/>
          <w:szCs w:val="16"/>
          <w:color w:val="auto"/>
        </w:rPr>
        <w:t>The interactive entertainment software and hardware industry is characterized by the introduction of new and enhanced generations of products and evolving industry standards. These changes may cause inventory to decline substantially in value or to become obsolete. We are also exposed to inventory risk in our distribution business to the extent that supplier price concessions are not available on all products or quantities and are subject to time restrictions. In addition, suppliers may become insolvent and unable to fulfill price concession obligations.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i w:val="1"/>
          <w:iCs w:val="1"/>
          <w:color w:val="auto"/>
        </w:rPr>
        <w:t xml:space="preserve">We are subject to risks and uncertainties of international trade. </w:t>
      </w:r>
      <w:r>
        <w:rPr>
          <w:rFonts w:ascii="Arial" w:cs="Arial" w:eastAsia="Arial" w:hAnsi="Arial"/>
          <w:sz w:val="16"/>
          <w:szCs w:val="16"/>
          <w:color w:val="auto"/>
        </w:rPr>
        <w:t>Sales in international markets, primarily in the United Kingdom and other countries in Europe,</w:t>
      </w:r>
      <w:r>
        <w:rPr>
          <w:rFonts w:ascii="Arial" w:cs="Arial" w:eastAsia="Arial" w:hAnsi="Arial"/>
          <w:sz w:val="16"/>
          <w:szCs w:val="16"/>
          <w:i w:val="1"/>
          <w:iCs w:val="1"/>
          <w:color w:val="auto"/>
        </w:rPr>
        <w:t xml:space="preserve"> </w:t>
      </w:r>
      <w:r>
        <w:rPr>
          <w:rFonts w:ascii="Arial" w:cs="Arial" w:eastAsia="Arial" w:hAnsi="Arial"/>
          <w:sz w:val="16"/>
          <w:szCs w:val="16"/>
          <w:color w:val="auto"/>
        </w:rPr>
        <w:t>have accounted for a significant portion of our net sales. Sales in international markets accounted for approximately 27.5% and 27.9%, respectively, of our revenues for fiscal 2004 and 2003. We are subject to risks inherent in foreign trade, including increased credit risks; tariffs and duties; fluctuations in foreign currency exchange rates; shipping delays; and international political, regulatory and economic developments, all of which can have a significant impact on our operating results. All of our international sales are made in local currencies.</w:t>
      </w:r>
    </w:p>
    <w:p>
      <w:pPr>
        <w:spacing w:after="0" w:line="17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 xml:space="preserve">The market price for our common stock may be highly volatile. </w:t>
      </w:r>
      <w:r>
        <w:rPr>
          <w:rFonts w:ascii="Arial" w:cs="Arial" w:eastAsia="Arial" w:hAnsi="Arial"/>
          <w:sz w:val="18"/>
          <w:szCs w:val="18"/>
          <w:color w:val="auto"/>
        </w:rPr>
        <w:t>The market price of our common stock has been and may continue to be highly volatile.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our operating results, announcements by us or our competitors and various factors affecting the interactive entertainment software industry may have a significant impact on the market price of our common stock.</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We are subject to rapidly evolving regulation affecting financial reporting, accounting and corporate governance matters. </w:t>
      </w:r>
      <w:r>
        <w:rPr>
          <w:rFonts w:ascii="Arial" w:cs="Arial" w:eastAsia="Arial" w:hAnsi="Arial"/>
          <w:sz w:val="16"/>
          <w:szCs w:val="16"/>
          <w:color w:val="auto"/>
        </w:rPr>
        <w:t>In response to recent corporate events,</w:t>
      </w:r>
      <w:r>
        <w:rPr>
          <w:rFonts w:ascii="Arial" w:cs="Arial" w:eastAsia="Arial" w:hAnsi="Arial"/>
          <w:sz w:val="16"/>
          <w:szCs w:val="16"/>
          <w:i w:val="1"/>
          <w:iCs w:val="1"/>
          <w:color w:val="auto"/>
        </w:rPr>
        <w:t xml:space="preserve"> </w:t>
      </w:r>
      <w:r>
        <w:rPr>
          <w:rFonts w:ascii="Arial" w:cs="Arial" w:eastAsia="Arial" w:hAnsi="Arial"/>
          <w:sz w:val="16"/>
          <w:szCs w:val="16"/>
          <w:color w:val="auto"/>
        </w:rPr>
        <w:t>legislators and government agencies have focused on the integrity of financial reporting, and regulatory accounting bodies have recently announced their intention to issue several new accounting standards, including accounting for stock options as compensation expense, certain of which are significantly different from current accounting standards. We cannot predict the impact of the adoption of any such proposals on our future financial results. Additionally, recently enacted legislation focused on corporate governance, auditing and internal accounting controls imposes compliance burdens on us, and will require us to devote significant financial, technical and personnel resources to address compliance issues.</w:t>
      </w:r>
    </w:p>
    <w:p>
      <w:pPr>
        <w:spacing w:after="0" w:line="17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We are dependent on our management and key personnel. </w:t>
      </w:r>
      <w:r>
        <w:rPr>
          <w:rFonts w:ascii="Arial" w:cs="Arial" w:eastAsia="Arial" w:hAnsi="Arial"/>
          <w:sz w:val="16"/>
          <w:szCs w:val="16"/>
          <w:color w:val="auto"/>
        </w:rPr>
        <w:t>We rely on our management and other key personnel for the successful operation of our business. We</w:t>
      </w:r>
      <w:r>
        <w:rPr>
          <w:rFonts w:ascii="Arial" w:cs="Arial" w:eastAsia="Arial" w:hAnsi="Arial"/>
          <w:sz w:val="16"/>
          <w:szCs w:val="16"/>
          <w:i w:val="1"/>
          <w:iCs w:val="1"/>
          <w:color w:val="auto"/>
        </w:rPr>
        <w:t xml:space="preserve"> </w:t>
      </w:r>
      <w:r>
        <w:rPr>
          <w:rFonts w:ascii="Arial" w:cs="Arial" w:eastAsia="Arial" w:hAnsi="Arial"/>
          <w:sz w:val="16"/>
          <w:szCs w:val="16"/>
          <w:color w:val="auto"/>
        </w:rPr>
        <w:t>are dependent upon the expertise and skills of certain of our Rockstar employees responsible for content creation and product development and marketing. Although we have employment agreements with each of these creative, development and marketing personnel, and we have granted them incentives in the form of an internal royalty program based on sales of Rockstar published products, there can be no assurance that we will be able to continue to retain these personnel at current compensation levels, or at all. Failure to continue to attract and retain qualified management, creative, development, financial, marketing, sales and technical personnel could materially adversely affect our business and prospects.</w:t>
      </w:r>
    </w:p>
    <w:p>
      <w:pPr>
        <w:spacing w:after="0" w:line="1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market risks in the ordinary course of our business, primarily risks associated with interest rate and foreign currency fluctuations.</w:t>
      </w:r>
    </w:p>
    <w:p>
      <w:pPr>
        <w:spacing w:after="0" w:line="24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Historically, fluctuations in interest rates have not had a significant impact on our operating results. At October 31, 2004, we had no outstanding variable rate indebtedness.</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transact business in foreign currencies and are exposed to risks resulting from fluctuations in foreign currency exchange rates. Accounts relating to foreign operations are translated into United States dollars using prevailing exchange rates at the relevant fiscal quarter or year end. Translation adjustments are included as a separate component of stockholders’ equity. For fiscal 2004 our foreign currency translation adjustment gain was $7,290 and our foreign exchange transaction gain was $1,199. A hypothetical 10% change in applicable currency exchange rates at October 31, 2004 would result in a material translation adjustment.</w:t>
      </w:r>
    </w:p>
    <w:p>
      <w:pPr>
        <w:spacing w:after="0" w:line="1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appear in a separate section of this report following Part III.</w:t>
      </w:r>
    </w:p>
    <w:p>
      <w:pPr>
        <w:spacing w:after="0" w:line="2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Based on their evaluation of the effectiveness of our disclosure controls and procedures as of the end of the period covered by this report, our Chief Executive Officer and Chief Financial Officer have concluded that our disclosure controls and procedures are effective at the reasonable assurance level for recording, processing, summarizing and reporting the information we are required to disclose in our reports filed under the Securities Exchange Act of 1934. There were no changes in our internal controls over financial reporting during the fiscal quarter ended October 31, 2004 that have materially affected, or are reasonably likely to materially affect, our internal controls over financial reporting.</w:t>
      </w:r>
    </w:p>
    <w:p>
      <w:pPr>
        <w:spacing w:after="0" w:line="1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available.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information required by this Item is incorporated by reference to the section of our definitive Proxy Statement for our Annual Meeting of Stockholders to be held in 2005, entitled “Election of Directors” to be filed with the Securities and Exchange Commission within 120 days after the end of the fiscal year covered by this Report.</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information required by this Item is incorporated by reference to the section of our definitive Proxy Statement for our Annual Meeting of Stockholders to be held in 2005, entitled “Executive Compensation” to be filed with the Securities and Exchange Commission within 120 days after the end of the fiscal year covered by this Report.</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w:t>
      </w:r>
    </w:p>
    <w:p>
      <w:pPr>
        <w:spacing w:after="0" w:line="23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information required by this Item is incorporated by reference to the section of our definitive Proxy Statement for our Annual Meeting of Stockholders to be held in 2005, entitled “Security Ownership of Certain Beneficial Owners and Management” to be filed with the Securities and Exchange Commission within 120 days after the end of the fiscal year covered by this Report.</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is incorporated by reference to the section of our definitive Proxy Statement for our Annual Meeting of Stockholders to be held in 2005, entitled “Certain Relationships and Related Transactions” to be filed with the Securities and Exchange Commission within 120 days after the end of the fiscal year covered by this Report.</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information required by this Item is incorporated by reference to the section of our definitive Proxy Statement for our Annual Meeting of Stockholders to be held in 2005, entitled “Principal Accountant Fees and Services” to be filed with the Securities and Exchange Commission within 120 days after the end of the fiscal year covered by this Report.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 and Reports on Form 8-K</w:t>
      </w:r>
    </w:p>
    <w:p>
      <w:pPr>
        <w:spacing w:after="0" w:line="231"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52" w:lineRule="exact"/>
        <w:rPr>
          <w:rFonts w:ascii="Arial" w:cs="Arial" w:eastAsia="Arial" w:hAnsi="Arial"/>
          <w:sz w:val="18"/>
          <w:szCs w:val="18"/>
          <w:color w:val="auto"/>
        </w:rPr>
      </w:pPr>
    </w:p>
    <w:p>
      <w:pPr>
        <w:ind w:left="1140" w:hanging="565"/>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Financial Statements. See Index to Financial Statements on page 39 of this Report.</w:t>
      </w:r>
    </w:p>
    <w:p>
      <w:pPr>
        <w:spacing w:after="0" w:line="279" w:lineRule="exact"/>
        <w:rPr>
          <w:rFonts w:ascii="Arial" w:cs="Arial" w:eastAsia="Arial" w:hAnsi="Arial"/>
          <w:sz w:val="18"/>
          <w:szCs w:val="18"/>
          <w:color w:val="auto"/>
        </w:rPr>
      </w:pPr>
    </w:p>
    <w:p>
      <w:pPr>
        <w:ind w:left="1140" w:hanging="565"/>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Financial Statement Schedule. See page 67 of this Report.</w:t>
      </w:r>
    </w:p>
    <w:p>
      <w:pPr>
        <w:spacing w:after="0" w:line="279" w:lineRule="exact"/>
        <w:rPr>
          <w:rFonts w:ascii="Arial" w:cs="Arial" w:eastAsia="Arial" w:hAnsi="Arial"/>
          <w:sz w:val="18"/>
          <w:szCs w:val="18"/>
          <w:color w:val="auto"/>
        </w:rPr>
      </w:pPr>
    </w:p>
    <w:p>
      <w:pPr>
        <w:ind w:left="1140" w:hanging="565"/>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color w:val="auto"/>
        </w:rPr>
        <w:t>Restated Certificate of Incorporation (14)</w:t>
      </w:r>
    </w:p>
    <w:p>
      <w:pPr>
        <w:spacing w:after="0" w:line="27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3.1.1   Certificate of Designation, dated March 11, 1998 (14)</w:t>
      </w:r>
    </w:p>
    <w:p>
      <w:pPr>
        <w:spacing w:after="0" w:line="279" w:lineRule="exact"/>
        <w:rPr>
          <w:rFonts w:ascii="Arial" w:cs="Arial" w:eastAsia="Arial" w:hAnsi="Arial"/>
          <w:sz w:val="18"/>
          <w:szCs w:val="18"/>
          <w:color w:val="auto"/>
        </w:rPr>
      </w:pPr>
    </w:p>
    <w:p>
      <w:pPr>
        <w:ind w:left="1700" w:right="4100" w:hanging="567"/>
        <w:spacing w:after="0" w:line="268" w:lineRule="auto"/>
        <w:rPr>
          <w:rFonts w:ascii="Arial" w:cs="Arial" w:eastAsia="Arial" w:hAnsi="Arial"/>
          <w:sz w:val="18"/>
          <w:szCs w:val="18"/>
          <w:color w:val="auto"/>
        </w:rPr>
      </w:pPr>
      <w:r>
        <w:rPr>
          <w:rFonts w:ascii="Arial" w:cs="Arial" w:eastAsia="Arial" w:hAnsi="Arial"/>
          <w:sz w:val="18"/>
          <w:szCs w:val="18"/>
          <w:color w:val="auto"/>
        </w:rPr>
        <w:t>3.1.2 Certificate of Amendment of Restated Certificate of Incorporation, dated April 30, 1998 (14)</w:t>
      </w:r>
    </w:p>
    <w:p>
      <w:pPr>
        <w:spacing w:after="0" w:line="212" w:lineRule="exact"/>
        <w:rPr>
          <w:rFonts w:ascii="Arial" w:cs="Arial" w:eastAsia="Arial" w:hAnsi="Arial"/>
          <w:sz w:val="18"/>
          <w:szCs w:val="18"/>
          <w:color w:val="auto"/>
        </w:rPr>
      </w:pPr>
    </w:p>
    <w:p>
      <w:pPr>
        <w:ind w:left="1700" w:right="4500" w:hanging="567"/>
        <w:spacing w:after="0" w:line="268" w:lineRule="auto"/>
        <w:rPr>
          <w:rFonts w:ascii="Arial" w:cs="Arial" w:eastAsia="Arial" w:hAnsi="Arial"/>
          <w:sz w:val="18"/>
          <w:szCs w:val="18"/>
          <w:color w:val="auto"/>
        </w:rPr>
      </w:pPr>
      <w:r>
        <w:rPr>
          <w:rFonts w:ascii="Arial" w:cs="Arial" w:eastAsia="Arial" w:hAnsi="Arial"/>
          <w:sz w:val="18"/>
          <w:szCs w:val="18"/>
          <w:color w:val="auto"/>
        </w:rPr>
        <w:t>3.1.3 Certificate of Amendment of Restated Certificate of Incorporation, dated November 17, 2003 (14)</w:t>
      </w:r>
    </w:p>
    <w:p>
      <w:pPr>
        <w:spacing w:after="0" w:line="21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16"/>
          <w:szCs w:val="16"/>
          <w:color w:val="auto"/>
        </w:rPr>
        <w:t>By-Laws (1)</w:t>
      </w:r>
    </w:p>
    <w:p>
      <w:pPr>
        <w:spacing w:after="0" w:line="25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10.1   1997 Stock Option Plan (1) +</w:t>
      </w:r>
    </w:p>
    <w:p>
      <w:pPr>
        <w:spacing w:after="0" w:line="25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10.2   2002 Stock Option Plan (2) +</w:t>
      </w:r>
    </w:p>
    <w:p>
      <w:pPr>
        <w:spacing w:after="0" w:line="25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10.3   Incentive Stock Plan. (3) +</w:t>
      </w:r>
    </w:p>
    <w:p>
      <w:pPr>
        <w:spacing w:after="0" w:line="252" w:lineRule="exact"/>
        <w:rPr>
          <w:rFonts w:ascii="Arial" w:cs="Arial" w:eastAsia="Arial" w:hAnsi="Arial"/>
          <w:sz w:val="18"/>
          <w:szCs w:val="18"/>
          <w:color w:val="auto"/>
        </w:rPr>
      </w:pPr>
    </w:p>
    <w:p>
      <w:pPr>
        <w:ind w:left="1700" w:hanging="567"/>
        <w:spacing w:after="0" w:line="268" w:lineRule="auto"/>
        <w:rPr>
          <w:rFonts w:ascii="Arial" w:cs="Arial" w:eastAsia="Arial" w:hAnsi="Arial"/>
          <w:sz w:val="18"/>
          <w:szCs w:val="18"/>
          <w:color w:val="auto"/>
        </w:rPr>
      </w:pPr>
      <w:r>
        <w:rPr>
          <w:rFonts w:ascii="Arial" w:cs="Arial" w:eastAsia="Arial" w:hAnsi="Arial"/>
          <w:sz w:val="18"/>
          <w:szCs w:val="18"/>
          <w:color w:val="auto"/>
        </w:rPr>
        <w:t>10.4 Amended and Restated Credit Agreement, dated August 28, 2002, by and among the Company, certain of its subsidiaries, certain lenders and Bank of America, N.A., as agent. (4)</w:t>
      </w:r>
    </w:p>
    <w:p>
      <w:pPr>
        <w:spacing w:after="0" w:line="21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10.5   Loan Agreement with Lloyds TBS Commercial and Take-Two Interactive Software Europe Ltd. (5)</w:t>
      </w:r>
    </w:p>
    <w:p>
      <w:pPr>
        <w:spacing w:after="0" w:line="252" w:lineRule="exact"/>
        <w:rPr>
          <w:rFonts w:ascii="Arial" w:cs="Arial" w:eastAsia="Arial" w:hAnsi="Arial"/>
          <w:sz w:val="18"/>
          <w:szCs w:val="18"/>
          <w:color w:val="auto"/>
        </w:rPr>
      </w:pPr>
    </w:p>
    <w:p>
      <w:pPr>
        <w:ind w:left="1700" w:right="3960" w:hanging="567"/>
        <w:spacing w:after="0" w:line="268" w:lineRule="auto"/>
        <w:rPr>
          <w:rFonts w:ascii="Arial" w:cs="Arial" w:eastAsia="Arial" w:hAnsi="Arial"/>
          <w:sz w:val="18"/>
          <w:szCs w:val="18"/>
          <w:color w:val="auto"/>
        </w:rPr>
      </w:pPr>
      <w:r>
        <w:rPr>
          <w:rFonts w:ascii="Arial" w:cs="Arial" w:eastAsia="Arial" w:hAnsi="Arial"/>
          <w:sz w:val="18"/>
          <w:szCs w:val="18"/>
          <w:color w:val="auto"/>
        </w:rPr>
        <w:t>10.6 Employment Agreement, dated February 15, 2002 by and between the Company and Karl H. Winters. (6) +</w:t>
      </w:r>
    </w:p>
    <w:p>
      <w:pPr>
        <w:spacing w:after="0" w:line="21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10.7   Letter Agreement dated April 14, 2004 by and between the Company and Paul Eibeler. (12)</w:t>
      </w:r>
    </w:p>
    <w:p>
      <w:pPr>
        <w:spacing w:after="0" w:line="25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10.8   Letter Agreement dated June 7, 2004 by and between the Company and Richard W. Roedel. (12)</w:t>
      </w:r>
    </w:p>
    <w:p>
      <w:pPr>
        <w:spacing w:after="0" w:line="252" w:lineRule="exact"/>
        <w:rPr>
          <w:rFonts w:ascii="Arial" w:cs="Arial" w:eastAsia="Arial" w:hAnsi="Arial"/>
          <w:sz w:val="18"/>
          <w:szCs w:val="18"/>
          <w:color w:val="auto"/>
        </w:rPr>
      </w:pPr>
    </w:p>
    <w:p>
      <w:pPr>
        <w:ind w:left="1700" w:right="4060" w:hanging="567"/>
        <w:spacing w:after="0" w:line="268" w:lineRule="auto"/>
        <w:rPr>
          <w:rFonts w:ascii="Arial" w:cs="Arial" w:eastAsia="Arial" w:hAnsi="Arial"/>
          <w:sz w:val="18"/>
          <w:szCs w:val="18"/>
          <w:color w:val="auto"/>
        </w:rPr>
      </w:pPr>
      <w:r>
        <w:rPr>
          <w:rFonts w:ascii="Arial" w:cs="Arial" w:eastAsia="Arial" w:hAnsi="Arial"/>
          <w:sz w:val="18"/>
          <w:szCs w:val="18"/>
          <w:color w:val="auto"/>
        </w:rPr>
        <w:t>10.9 Employment Agreement dated July 30, 2004 by and between the Company and Gary Lewis. (13)</w:t>
      </w:r>
    </w:p>
    <w:p>
      <w:pPr>
        <w:spacing w:after="0" w:line="21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10.10  Employment Agreement dated July 30, 2004 by and between the Company and Samuel A. Judd. (13)</w:t>
      </w:r>
    </w:p>
    <w:p>
      <w:pPr>
        <w:spacing w:after="0" w:line="25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6"/>
          <w:szCs w:val="16"/>
          <w:color w:val="auto"/>
        </w:rPr>
        <w:t>10.11  Licensed Publishing Agreement dated April 1, 2000 between Sony Computer Entertainment America, Inc. and the Company. (7)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00" w:lineRule="exact"/>
        <w:rPr>
          <w:sz w:val="20"/>
          <w:szCs w:val="20"/>
          <w:color w:val="auto"/>
        </w:rPr>
      </w:pPr>
    </w:p>
    <w:p>
      <w:pPr>
        <w:spacing w:after="0" w:line="268" w:lineRule="exact"/>
        <w:rPr>
          <w:sz w:val="20"/>
          <w:szCs w:val="20"/>
          <w:color w:val="auto"/>
        </w:rPr>
      </w:pPr>
    </w:p>
    <w:p>
      <w:pPr>
        <w:ind w:left="1140"/>
        <w:spacing w:after="0"/>
        <w:tabs>
          <w:tab w:leader="none" w:pos="16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Publishing Agreement dated May 8, 1998 between Gathering of Developers I, Ltd. and Apogee Software, Ltd/ 3D Realms. (8) *</w:t>
      </w:r>
    </w:p>
    <w:p>
      <w:pPr>
        <w:spacing w:after="0" w:line="252" w:lineRule="exact"/>
        <w:rPr>
          <w:sz w:val="20"/>
          <w:szCs w:val="20"/>
          <w:color w:val="auto"/>
        </w:rPr>
      </w:pPr>
    </w:p>
    <w:p>
      <w:pPr>
        <w:ind w:left="1140"/>
        <w:spacing w:after="0"/>
        <w:tabs>
          <w:tab w:leader="none" w:pos="16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Xbox Publisher License Agreement dated December 14, 2000 between Microsoft Corporation and the Company. (5) *</w:t>
      </w:r>
    </w:p>
    <w:p>
      <w:pPr>
        <w:spacing w:after="0" w:line="252" w:lineRule="exact"/>
        <w:rPr>
          <w:sz w:val="20"/>
          <w:szCs w:val="20"/>
          <w:color w:val="auto"/>
        </w:rPr>
      </w:pPr>
    </w:p>
    <w:p>
      <w:pPr>
        <w:ind w:left="1700" w:right="540" w:hanging="566"/>
        <w:spacing w:after="0" w:line="268" w:lineRule="auto"/>
        <w:tabs>
          <w:tab w:leader="none" w:pos="1680" w:val="left"/>
        </w:tabs>
        <w:rPr>
          <w:sz w:val="20"/>
          <w:szCs w:val="20"/>
          <w:color w:val="auto"/>
        </w:rPr>
      </w:pPr>
      <w:r>
        <w:rPr>
          <w:rFonts w:ascii="Arial" w:cs="Arial" w:eastAsia="Arial" w:hAnsi="Arial"/>
          <w:sz w:val="18"/>
          <w:szCs w:val="18"/>
          <w:color w:val="auto"/>
        </w:rPr>
        <w:t>10.14</w:t>
        <w:tab/>
        <w:t>Confidential License Agreement for Nintendo Game Cube dated September 24, 2001 between Nintendo of America, Inc. and the Company. (5) *</w:t>
      </w:r>
    </w:p>
    <w:p>
      <w:pPr>
        <w:spacing w:after="0" w:line="213" w:lineRule="exact"/>
        <w:rPr>
          <w:sz w:val="20"/>
          <w:szCs w:val="20"/>
          <w:color w:val="auto"/>
        </w:rPr>
      </w:pPr>
    </w:p>
    <w:p>
      <w:pPr>
        <w:ind w:left="1140"/>
        <w:spacing w:after="0"/>
        <w:tabs>
          <w:tab w:leader="none" w:pos="16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5"/>
          <w:szCs w:val="15"/>
          <w:color w:val="auto"/>
        </w:rPr>
        <w:t>Letter Agreement dated July 21, 2001 between Apogee Software, Ltd and the Company. (7)</w:t>
      </w:r>
    </w:p>
    <w:p>
      <w:pPr>
        <w:spacing w:after="0" w:line="252" w:lineRule="exact"/>
        <w:rPr>
          <w:sz w:val="20"/>
          <w:szCs w:val="20"/>
          <w:color w:val="auto"/>
        </w:rPr>
      </w:pPr>
    </w:p>
    <w:p>
      <w:pPr>
        <w:ind w:left="1140"/>
        <w:spacing w:after="0"/>
        <w:tabs>
          <w:tab w:leader="none" w:pos="168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5"/>
          <w:szCs w:val="15"/>
          <w:color w:val="auto"/>
        </w:rPr>
        <w:t>Development and Publishing Agreement dated February 10, 2000 by and between the Company and VIS International plc. (9)</w:t>
      </w:r>
    </w:p>
    <w:p>
      <w:pPr>
        <w:spacing w:after="0" w:line="15" w:lineRule="exact"/>
        <w:rPr>
          <w:sz w:val="20"/>
          <w:szCs w:val="20"/>
          <w:color w:val="auto"/>
        </w:rPr>
      </w:pPr>
    </w:p>
    <w:p>
      <w:pPr>
        <w:ind w:left="1140"/>
        <w:spacing w:after="0"/>
        <w:tabs>
          <w:tab w:leader="none" w:pos="16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5"/>
          <w:szCs w:val="15"/>
          <w:color w:val="auto"/>
        </w:rPr>
        <w:t>Lease Agreement between the Company and Moklam Enterprises, Inc. dated July 1, 2002. (4)</w:t>
      </w:r>
    </w:p>
    <w:p>
      <w:pPr>
        <w:spacing w:after="0" w:line="246" w:lineRule="exact"/>
        <w:rPr>
          <w:sz w:val="20"/>
          <w:szCs w:val="20"/>
          <w:color w:val="auto"/>
        </w:rPr>
      </w:pPr>
    </w:p>
    <w:p>
      <w:pPr>
        <w:ind w:left="1140"/>
        <w:spacing w:after="0"/>
        <w:tabs>
          <w:tab w:leader="none" w:pos="16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5"/>
          <w:szCs w:val="15"/>
          <w:color w:val="auto"/>
        </w:rPr>
        <w:t>Asset Purchase Agreement between Apogee Software, Ltd., Remedy Entertainment and the Company. (10)</w:t>
      </w:r>
    </w:p>
    <w:p>
      <w:pPr>
        <w:spacing w:after="0" w:line="252" w:lineRule="exact"/>
        <w:rPr>
          <w:sz w:val="20"/>
          <w:szCs w:val="20"/>
          <w:color w:val="auto"/>
        </w:rPr>
      </w:pPr>
    </w:p>
    <w:p>
      <w:pPr>
        <w:ind w:left="1140"/>
        <w:spacing w:after="0"/>
        <w:tabs>
          <w:tab w:leader="none" w:pos="16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5"/>
          <w:szCs w:val="15"/>
          <w:color w:val="auto"/>
        </w:rPr>
        <w:t>Stock Purchase Agreement, dated November 19, 2002, by and between the Company and Angel Studios, Inc. (11)</w:t>
      </w:r>
    </w:p>
    <w:p>
      <w:pPr>
        <w:spacing w:after="0" w:line="252" w:lineRule="exact"/>
        <w:rPr>
          <w:sz w:val="20"/>
          <w:szCs w:val="20"/>
          <w:color w:val="auto"/>
        </w:rPr>
      </w:pPr>
    </w:p>
    <w:p>
      <w:pPr>
        <w:ind w:left="1140"/>
        <w:spacing w:after="0"/>
        <w:tabs>
          <w:tab w:leader="none" w:pos="16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Company.</w:t>
      </w:r>
    </w:p>
    <w:p>
      <w:pPr>
        <w:spacing w:after="0" w:line="252" w:lineRule="exact"/>
        <w:rPr>
          <w:sz w:val="20"/>
          <w:szCs w:val="20"/>
          <w:color w:val="auto"/>
        </w:rPr>
      </w:pPr>
    </w:p>
    <w:p>
      <w:pPr>
        <w:ind w:left="1140"/>
        <w:spacing w:after="0"/>
        <w:tabs>
          <w:tab w:leader="none" w:pos="1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w:t>
      </w:r>
    </w:p>
    <w:p>
      <w:pPr>
        <w:spacing w:after="0" w:line="252" w:lineRule="exact"/>
        <w:rPr>
          <w:sz w:val="20"/>
          <w:szCs w:val="20"/>
          <w:color w:val="auto"/>
        </w:rPr>
      </w:pPr>
    </w:p>
    <w:p>
      <w:pPr>
        <w:ind w:left="1140"/>
        <w:spacing w:after="0"/>
        <w:tabs>
          <w:tab w:leader="none" w:pos="1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Chief Executive Officer Certification Pursuant to Section 302 of the Sarbanes-Oxley Act of 2002.</w:t>
      </w:r>
    </w:p>
    <w:p>
      <w:pPr>
        <w:spacing w:after="0" w:line="252" w:lineRule="exact"/>
        <w:rPr>
          <w:sz w:val="20"/>
          <w:szCs w:val="20"/>
          <w:color w:val="auto"/>
        </w:rPr>
      </w:pPr>
    </w:p>
    <w:p>
      <w:pPr>
        <w:ind w:left="1140"/>
        <w:spacing w:after="0"/>
        <w:tabs>
          <w:tab w:leader="none" w:pos="1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Chief Financial Officer Certification Pursuant to Section 302 of the Sarbanes-Oxley Act of 2002.</w:t>
      </w:r>
    </w:p>
    <w:p>
      <w:pPr>
        <w:spacing w:after="0" w:line="252" w:lineRule="exact"/>
        <w:rPr>
          <w:sz w:val="20"/>
          <w:szCs w:val="20"/>
          <w:color w:val="auto"/>
        </w:rPr>
      </w:pPr>
    </w:p>
    <w:p>
      <w:pPr>
        <w:ind w:left="1700" w:hanging="566"/>
        <w:spacing w:after="0" w:line="268" w:lineRule="auto"/>
        <w:tabs>
          <w:tab w:leader="none" w:pos="1680" w:val="left"/>
        </w:tabs>
        <w:rPr>
          <w:sz w:val="20"/>
          <w:szCs w:val="20"/>
          <w:color w:val="auto"/>
        </w:rPr>
      </w:pPr>
      <w:r>
        <w:rPr>
          <w:rFonts w:ascii="Arial" w:cs="Arial" w:eastAsia="Arial" w:hAnsi="Arial"/>
          <w:sz w:val="18"/>
          <w:szCs w:val="18"/>
          <w:color w:val="auto"/>
        </w:rPr>
        <w:t>32.1</w:t>
        <w:tab/>
        <w:t>Chief Executive Officer Certification pursuant to 18 U.S.C. Section 1350, as adopted Pursuant to Section 906 of the Sarbanes-Oxley Act of 2002.</w:t>
      </w:r>
    </w:p>
    <w:p>
      <w:pPr>
        <w:spacing w:after="0" w:line="213" w:lineRule="exact"/>
        <w:rPr>
          <w:sz w:val="20"/>
          <w:szCs w:val="20"/>
          <w:color w:val="auto"/>
        </w:rPr>
      </w:pPr>
    </w:p>
    <w:p>
      <w:pPr>
        <w:ind w:left="1700" w:right="60" w:hanging="566"/>
        <w:spacing w:after="0" w:line="268" w:lineRule="auto"/>
        <w:tabs>
          <w:tab w:leader="none" w:pos="1680" w:val="left"/>
        </w:tabs>
        <w:rPr>
          <w:sz w:val="20"/>
          <w:szCs w:val="20"/>
          <w:color w:val="auto"/>
        </w:rPr>
      </w:pPr>
      <w:r>
        <w:rPr>
          <w:rFonts w:ascii="Arial" w:cs="Arial" w:eastAsia="Arial" w:hAnsi="Arial"/>
          <w:sz w:val="18"/>
          <w:szCs w:val="18"/>
          <w:color w:val="auto"/>
        </w:rPr>
        <w:t>32.2</w:t>
        <w:tab/>
        <w:t>Chief Financial Officer Certification pursuant to 18 U.S.C. Section 1350, as adopted Pursuant to Section 906 of the Sarbanes-Oxley Act of 2002.</w:t>
      </w:r>
    </w:p>
    <w:p>
      <w:pPr>
        <w:spacing w:after="0" w:line="200" w:lineRule="exact"/>
        <w:rPr>
          <w:sz w:val="20"/>
          <w:szCs w:val="20"/>
          <w:color w:val="auto"/>
        </w:rPr>
      </w:pPr>
    </w:p>
    <w:p>
      <w:pPr>
        <w:spacing w:after="0" w:line="256" w:lineRule="exact"/>
        <w:rPr>
          <w:sz w:val="20"/>
          <w:szCs w:val="20"/>
          <w:color w:val="auto"/>
        </w:rPr>
      </w:pPr>
    </w:p>
    <w:p>
      <w:pPr>
        <w:ind w:left="1140" w:hanging="565"/>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a management contract or compensatory plan or arrangement.</w:t>
      </w:r>
    </w:p>
    <w:p>
      <w:pPr>
        <w:spacing w:after="0" w:line="252" w:lineRule="exact"/>
        <w:rPr>
          <w:sz w:val="20"/>
          <w:szCs w:val="20"/>
          <w:color w:val="auto"/>
        </w:rPr>
      </w:pPr>
    </w:p>
    <w:p>
      <w:pPr>
        <w:ind w:left="1140" w:right="400" w:hanging="565"/>
        <w:spacing w:after="0" w:line="268"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Portions hereof have been omitted and filed separately with the Securities and Exchange Commission pursuant to a request for confidential treatment in accordance with Exchange Act Rule 24b-2.</w:t>
      </w:r>
    </w:p>
    <w:p>
      <w:pPr>
        <w:spacing w:after="0" w:line="213" w:lineRule="exact"/>
        <w:rPr>
          <w:sz w:val="20"/>
          <w:szCs w:val="20"/>
          <w:color w:val="auto"/>
        </w:rPr>
      </w:pPr>
    </w:p>
    <w:p>
      <w:pPr>
        <w:ind w:left="1140" w:hanging="565"/>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Incorporated by reference to the applicable exhibit contained in the Company’s Registration Statement on Form SB-2 (File No. 333-6414).</w:t>
      </w:r>
    </w:p>
    <w:p>
      <w:pPr>
        <w:spacing w:after="0" w:line="275" w:lineRule="exact"/>
        <w:rPr>
          <w:rFonts w:ascii="Arial" w:cs="Arial" w:eastAsia="Arial" w:hAnsi="Arial"/>
          <w:sz w:val="16"/>
          <w:szCs w:val="16"/>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the Company’s Proxy Statement dated May 12, 2004.</w:t>
      </w:r>
    </w:p>
    <w:p>
      <w:pPr>
        <w:spacing w:after="0" w:line="252" w:lineRule="exact"/>
        <w:rPr>
          <w:rFonts w:ascii="Arial" w:cs="Arial" w:eastAsia="Arial" w:hAnsi="Arial"/>
          <w:sz w:val="18"/>
          <w:szCs w:val="18"/>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the Company’s Proxy Statement dated May 12, 2004.</w:t>
      </w:r>
    </w:p>
    <w:p>
      <w:pPr>
        <w:spacing w:after="0" w:line="252" w:lineRule="exact"/>
        <w:rPr>
          <w:rFonts w:ascii="Arial" w:cs="Arial" w:eastAsia="Arial" w:hAnsi="Arial"/>
          <w:sz w:val="18"/>
          <w:szCs w:val="18"/>
          <w:color w:val="auto"/>
        </w:rPr>
      </w:pPr>
    </w:p>
    <w:p>
      <w:pPr>
        <w:ind w:left="1140" w:right="80" w:hanging="565"/>
        <w:spacing w:after="0" w:line="268"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the applicable exhibit contained in the Company’s Quarterly Report on Form 10-Q for the three months ended July 31, 2002.</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00" w:lineRule="exact"/>
        <w:rPr>
          <w:sz w:val="20"/>
          <w:szCs w:val="20"/>
          <w:color w:val="auto"/>
        </w:rPr>
      </w:pPr>
    </w:p>
    <w:p>
      <w:pPr>
        <w:spacing w:after="0" w:line="268" w:lineRule="exact"/>
        <w:rPr>
          <w:sz w:val="20"/>
          <w:szCs w:val="20"/>
          <w:color w:val="auto"/>
        </w:rPr>
      </w:pPr>
    </w:p>
    <w:p>
      <w:pPr>
        <w:ind w:left="1140" w:right="320" w:hanging="565"/>
        <w:spacing w:after="0" w:line="268"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applicable exhibit contained in the Company’s Annual Report on Form 10-K for the year ended October 31, 2001.</w:t>
      </w:r>
    </w:p>
    <w:p>
      <w:pPr>
        <w:spacing w:after="0" w:line="212" w:lineRule="exact"/>
        <w:rPr>
          <w:rFonts w:ascii="Arial" w:cs="Arial" w:eastAsia="Arial" w:hAnsi="Arial"/>
          <w:sz w:val="18"/>
          <w:szCs w:val="18"/>
          <w:color w:val="auto"/>
        </w:rPr>
      </w:pPr>
    </w:p>
    <w:p>
      <w:pPr>
        <w:ind w:left="1140" w:right="220" w:hanging="565"/>
        <w:spacing w:after="0" w:line="268"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applicable exhibit contained in the Company’s Annual Report on Form 10-K/A in the year ended October 31, 2001.</w:t>
      </w:r>
    </w:p>
    <w:p>
      <w:pPr>
        <w:spacing w:after="0" w:line="212" w:lineRule="exact"/>
        <w:rPr>
          <w:rFonts w:ascii="Arial" w:cs="Arial" w:eastAsia="Arial" w:hAnsi="Arial"/>
          <w:sz w:val="18"/>
          <w:szCs w:val="18"/>
          <w:color w:val="auto"/>
        </w:rPr>
      </w:pPr>
    </w:p>
    <w:p>
      <w:pPr>
        <w:ind w:left="1140" w:hanging="565"/>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applicable exhibit contained in the Company’s Current Report on Form 8-K dated May 7, 2002.</w:t>
      </w:r>
    </w:p>
    <w:p>
      <w:pPr>
        <w:spacing w:after="0" w:line="252" w:lineRule="exact"/>
        <w:rPr>
          <w:rFonts w:ascii="Arial" w:cs="Arial" w:eastAsia="Arial" w:hAnsi="Arial"/>
          <w:sz w:val="18"/>
          <w:szCs w:val="18"/>
          <w:color w:val="auto"/>
        </w:rPr>
      </w:pPr>
    </w:p>
    <w:p>
      <w:pPr>
        <w:ind w:left="1140" w:hanging="565"/>
        <w:spacing w:after="0" w:line="268"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applicable exhibit contained in the Company’s Registration Statement on Form S-3/A dated September 14, 2001 (File no. 333- 66748).</w:t>
      </w:r>
    </w:p>
    <w:p>
      <w:pPr>
        <w:spacing w:after="0" w:line="212" w:lineRule="exact"/>
        <w:rPr>
          <w:rFonts w:ascii="Arial" w:cs="Arial" w:eastAsia="Arial" w:hAnsi="Arial"/>
          <w:sz w:val="18"/>
          <w:szCs w:val="18"/>
          <w:color w:val="auto"/>
        </w:rPr>
      </w:pPr>
    </w:p>
    <w:p>
      <w:pPr>
        <w:ind w:left="1140" w:right="20" w:hanging="565"/>
        <w:spacing w:after="0" w:line="268"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applicable exhibit contained in the Company’s Quarterly Report on Form 10-Q for the three months ended April 30, 2002.</w:t>
      </w:r>
    </w:p>
    <w:p>
      <w:pPr>
        <w:spacing w:after="0" w:line="212" w:lineRule="exact"/>
        <w:rPr>
          <w:rFonts w:ascii="Arial" w:cs="Arial" w:eastAsia="Arial" w:hAnsi="Arial"/>
          <w:sz w:val="18"/>
          <w:szCs w:val="18"/>
          <w:color w:val="auto"/>
        </w:rPr>
      </w:pPr>
    </w:p>
    <w:p>
      <w:pPr>
        <w:ind w:left="1140" w:hanging="565"/>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applicable exhibit contained in the Company’s Current Report on Form 8-K dated June 5, 2002.</w:t>
      </w:r>
    </w:p>
    <w:p>
      <w:pPr>
        <w:spacing w:after="0" w:line="252" w:lineRule="exact"/>
        <w:rPr>
          <w:rFonts w:ascii="Arial" w:cs="Arial" w:eastAsia="Arial" w:hAnsi="Arial"/>
          <w:sz w:val="18"/>
          <w:szCs w:val="18"/>
          <w:color w:val="auto"/>
        </w:rPr>
      </w:pPr>
    </w:p>
    <w:p>
      <w:pPr>
        <w:ind w:left="1140" w:hanging="565"/>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Incorporated by reference to the applicable exhibit contained in the Company’s Current Report on Form 8-K dated November 22, 2002.</w:t>
      </w:r>
    </w:p>
    <w:p>
      <w:pPr>
        <w:spacing w:after="0" w:line="275" w:lineRule="exact"/>
        <w:rPr>
          <w:rFonts w:ascii="Arial" w:cs="Arial" w:eastAsia="Arial" w:hAnsi="Arial"/>
          <w:sz w:val="16"/>
          <w:szCs w:val="16"/>
          <w:color w:val="auto"/>
        </w:rPr>
      </w:pPr>
    </w:p>
    <w:p>
      <w:pPr>
        <w:ind w:left="1140" w:right="20" w:hanging="565"/>
        <w:spacing w:after="0" w:line="268"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applicable exhibit contained in the Company’s Quarterly Report on Form 10-Q for the three months ended April 30, 2004.</w:t>
      </w:r>
    </w:p>
    <w:p>
      <w:pPr>
        <w:spacing w:after="0" w:line="212" w:lineRule="exact"/>
        <w:rPr>
          <w:rFonts w:ascii="Arial" w:cs="Arial" w:eastAsia="Arial" w:hAnsi="Arial"/>
          <w:sz w:val="18"/>
          <w:szCs w:val="18"/>
          <w:color w:val="auto"/>
        </w:rPr>
      </w:pPr>
    </w:p>
    <w:p>
      <w:pPr>
        <w:ind w:left="1140" w:right="100" w:hanging="565"/>
        <w:spacing w:after="0" w:line="268"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applicable exhibit contained in the Company’s Quarterly Report on Form 10-Q for the three months ended July 31, 2004.</w:t>
      </w:r>
    </w:p>
    <w:p>
      <w:pPr>
        <w:spacing w:after="0" w:line="212" w:lineRule="exact"/>
        <w:rPr>
          <w:rFonts w:ascii="Arial" w:cs="Arial" w:eastAsia="Arial" w:hAnsi="Arial"/>
          <w:sz w:val="18"/>
          <w:szCs w:val="18"/>
          <w:color w:val="auto"/>
        </w:rPr>
      </w:pPr>
    </w:p>
    <w:p>
      <w:pPr>
        <w:ind w:left="1140" w:right="320" w:hanging="565"/>
        <w:spacing w:after="0" w:line="268"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applicable exhibit contained in the Company’s Annual Report on Form 10-K for the year ended October 31, 2003.</w:t>
      </w:r>
    </w:p>
    <w:p>
      <w:pPr>
        <w:spacing w:after="0" w:line="213"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Reports on Form 8-K filed during the quarter ended October 31, 2004:</w:t>
      </w:r>
    </w:p>
    <w:p>
      <w:pPr>
        <w:spacing w:after="0" w:line="252" w:lineRule="exact"/>
        <w:rPr>
          <w:sz w:val="20"/>
          <w:szCs w:val="20"/>
          <w:color w:val="auto"/>
        </w:rPr>
      </w:pPr>
    </w:p>
    <w:p>
      <w:pPr>
        <w:ind w:left="1140" w:right="60"/>
        <w:spacing w:after="0" w:line="268" w:lineRule="auto"/>
        <w:rPr>
          <w:sz w:val="20"/>
          <w:szCs w:val="20"/>
          <w:color w:val="auto"/>
        </w:rPr>
      </w:pPr>
      <w:r>
        <w:rPr>
          <w:rFonts w:ascii="Arial" w:cs="Arial" w:eastAsia="Arial" w:hAnsi="Arial"/>
          <w:sz w:val="18"/>
          <w:szCs w:val="18"/>
          <w:color w:val="auto"/>
        </w:rPr>
        <w:t>On September 10, 2004, the Company furnished a Current Report on Form 8-K to report the Press Release dated September 10, 2004 relating to the Company’s financial results for the third fiscal quarter ended July 31, 2004. (Items 7, 9 and 12)</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TAKE-TWO INTERACTIVE SOFTWARE,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 ENDED OCTOBER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900" w:type="dxa"/>
            <w:vAlign w:val="bottom"/>
            <w:gridSpan w:val="5"/>
          </w:tcPr>
          <w:p>
            <w:pPr>
              <w:ind w:left="40"/>
              <w:spacing w:after="0"/>
              <w:rPr>
                <w:sz w:val="20"/>
                <w:szCs w:val="20"/>
                <w:color w:val="auto"/>
              </w:rPr>
            </w:pPr>
            <w:r>
              <w:rPr>
                <w:rFonts w:ascii="Arial" w:cs="Arial" w:eastAsia="Arial" w:hAnsi="Arial"/>
                <w:sz w:val="18"/>
                <w:szCs w:val="18"/>
                <w:b w:val="1"/>
                <w:bCs w:val="1"/>
                <w:color w:val="auto"/>
              </w:rPr>
              <w:t>INDEX TO FINANCIAL STATEMENTS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94"/>
        </w:trPr>
        <w:tc>
          <w:tcPr>
            <w:tcW w:w="11020" w:type="dxa"/>
            <w:vAlign w:val="bottom"/>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Report of Independent Registered Public Accounting Firm</w:t>
              </w:r>
            </w:hyperlink>
          </w:p>
        </w:tc>
        <w:tc>
          <w:tcPr>
            <w:tcW w:w="180" w:type="dxa"/>
            <w:vAlign w:val="bottom"/>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40</w:t>
              </w:r>
            </w:hyperlink>
          </w:p>
        </w:tc>
        <w:tc>
          <w:tcPr>
            <w:tcW w:w="240" w:type="dxa"/>
            <w:vAlign w:val="bottom"/>
          </w:tcPr>
          <w:p>
            <w:pPr>
              <w:spacing w:after="0"/>
              <w:rPr>
                <w:sz w:val="24"/>
                <w:szCs w:val="24"/>
                <w:color w:val="auto"/>
              </w:rPr>
            </w:pPr>
          </w:p>
        </w:tc>
      </w:tr>
      <w:tr>
        <w:trPr>
          <w:trHeight w:val="20"/>
        </w:trPr>
        <w:tc>
          <w:tcPr>
            <w:tcW w:w="21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39"/>
        </w:trPr>
        <w:tc>
          <w:tcPr>
            <w:tcW w:w="436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44">
              <w:r>
                <w:rPr>
                  <w:rFonts w:ascii="Arial" w:cs="Arial" w:eastAsia="Arial" w:hAnsi="Arial"/>
                  <w:sz w:val="18"/>
                  <w:szCs w:val="18"/>
                  <w:color w:val="0000EE"/>
                  <w:w w:val="87"/>
                </w:rPr>
                <w:t>Consolidated Balance Sheets – At October 31, 2004 and 2003</w:t>
              </w:r>
            </w:hyperlink>
          </w:p>
        </w:tc>
        <w:tc>
          <w:tcPr>
            <w:tcW w:w="6660" w:type="dxa"/>
            <w:vAlign w:val="bottom"/>
            <w:gridSpan w:val="4"/>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41</w:t>
              </w:r>
            </w:hyperlink>
          </w:p>
        </w:tc>
        <w:tc>
          <w:tcPr>
            <w:tcW w:w="240" w:type="dxa"/>
            <w:vAlign w:val="bottom"/>
          </w:tcPr>
          <w:p>
            <w:pPr>
              <w:spacing w:after="0"/>
              <w:rPr>
                <w:sz w:val="24"/>
                <w:szCs w:val="24"/>
                <w:color w:val="auto"/>
              </w:rPr>
            </w:pPr>
          </w:p>
        </w:tc>
      </w:tr>
      <w:tr>
        <w:trPr>
          <w:trHeight w:val="439"/>
        </w:trPr>
        <w:tc>
          <w:tcPr>
            <w:tcW w:w="11020" w:type="dxa"/>
            <w:vAlign w:val="bottom"/>
            <w:gridSpan w:val="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Consolidated Statements of Operations – For the years ended October 31, 2004, 2003 and 2002</w:t>
              </w:r>
            </w:hyperlink>
          </w:p>
        </w:tc>
        <w:tc>
          <w:tcPr>
            <w:tcW w:w="180" w:type="dxa"/>
            <w:vAlign w:val="bottom"/>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42</w:t>
              </w:r>
            </w:hyperlink>
          </w:p>
        </w:tc>
        <w:tc>
          <w:tcPr>
            <w:tcW w:w="240" w:type="dxa"/>
            <w:vAlign w:val="bottom"/>
          </w:tcPr>
          <w:p>
            <w:pPr>
              <w:spacing w:after="0"/>
              <w:rPr>
                <w:sz w:val="24"/>
                <w:szCs w:val="24"/>
                <w:color w:val="auto"/>
              </w:rPr>
            </w:pPr>
          </w:p>
        </w:tc>
      </w:tr>
      <w:tr>
        <w:trPr>
          <w:trHeight w:val="20"/>
        </w:trPr>
        <w:tc>
          <w:tcPr>
            <w:tcW w:w="21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39"/>
        </w:trPr>
        <w:tc>
          <w:tcPr>
            <w:tcW w:w="11020" w:type="dxa"/>
            <w:vAlign w:val="bottom"/>
            <w:gridSpan w:val="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Consolidated Statements of Cash Flows – For the years ended October 31, 2004, 2003 and 2002</w:t>
              </w:r>
            </w:hyperlink>
          </w:p>
        </w:tc>
        <w:tc>
          <w:tcPr>
            <w:tcW w:w="180" w:type="dxa"/>
            <w:vAlign w:val="bottom"/>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43</w:t>
              </w:r>
            </w:hyperlink>
          </w:p>
        </w:tc>
        <w:tc>
          <w:tcPr>
            <w:tcW w:w="240" w:type="dxa"/>
            <w:vAlign w:val="bottom"/>
          </w:tcPr>
          <w:p>
            <w:pPr>
              <w:spacing w:after="0"/>
              <w:rPr>
                <w:sz w:val="24"/>
                <w:szCs w:val="24"/>
                <w:color w:val="auto"/>
              </w:rPr>
            </w:pPr>
          </w:p>
        </w:tc>
      </w:tr>
      <w:tr>
        <w:trPr>
          <w:trHeight w:val="20"/>
        </w:trPr>
        <w:tc>
          <w:tcPr>
            <w:tcW w:w="21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80" w:type="dxa"/>
            <w:vAlign w:val="bottom"/>
            <w:tcBorders>
              <w:right w:val="single" w:sz="8" w:color="0000EE"/>
            </w:tcBorders>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39"/>
        </w:trPr>
        <w:tc>
          <w:tcPr>
            <w:tcW w:w="11020" w:type="dxa"/>
            <w:vAlign w:val="bottom"/>
            <w:gridSpan w:val="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Consolidated Statements of Stockholders’ Equity – For the years ended October 31, 2002, 2003 and 2004</w:t>
              </w:r>
            </w:hyperlink>
          </w:p>
        </w:tc>
        <w:tc>
          <w:tcPr>
            <w:tcW w:w="180" w:type="dxa"/>
            <w:vAlign w:val="bottom"/>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45</w:t>
              </w:r>
            </w:hyperlink>
          </w:p>
        </w:tc>
        <w:tc>
          <w:tcPr>
            <w:tcW w:w="240" w:type="dxa"/>
            <w:vAlign w:val="bottom"/>
          </w:tcPr>
          <w:p>
            <w:pPr>
              <w:spacing w:after="0"/>
              <w:rPr>
                <w:sz w:val="24"/>
                <w:szCs w:val="24"/>
                <w:color w:val="auto"/>
              </w:rPr>
            </w:pPr>
          </w:p>
        </w:tc>
      </w:tr>
      <w:tr>
        <w:trPr>
          <w:trHeight w:val="439"/>
        </w:trPr>
        <w:tc>
          <w:tcPr>
            <w:tcW w:w="7420" w:type="dxa"/>
            <w:vAlign w:val="bottom"/>
            <w:tcBorders>
              <w:top w:val="single" w:sz="8" w:color="0000EE"/>
            </w:tcBorders>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Notes to Consolidated Financial Statements</w:t>
              </w:r>
            </w:hyperlink>
          </w:p>
        </w:tc>
        <w:tc>
          <w:tcPr>
            <w:tcW w:w="3600" w:type="dxa"/>
            <w:vAlign w:val="bottom"/>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46</w:t>
              </w:r>
            </w:hyperlink>
          </w:p>
        </w:tc>
        <w:tc>
          <w:tcPr>
            <w:tcW w:w="240" w:type="dxa"/>
            <w:vAlign w:val="bottom"/>
          </w:tcPr>
          <w:p>
            <w:pPr>
              <w:spacing w:after="0"/>
              <w:rPr>
                <w:sz w:val="24"/>
                <w:szCs w:val="24"/>
                <w:color w:val="auto"/>
              </w:rPr>
            </w:pPr>
          </w:p>
        </w:tc>
      </w:tr>
      <w:tr>
        <w:trPr>
          <w:trHeight w:val="439"/>
        </w:trPr>
        <w:tc>
          <w:tcPr>
            <w:tcW w:w="3080" w:type="dxa"/>
            <w:vAlign w:val="bottom"/>
            <w:tcBorders>
              <w:top w:val="single" w:sz="8" w:color="0000EE"/>
            </w:tcBorders>
            <w:gridSpan w:val="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Financial Statement Schedule:</w:t>
              </w:r>
            </w:hyperlink>
          </w:p>
        </w:tc>
        <w:tc>
          <w:tcPr>
            <w:tcW w:w="7940" w:type="dxa"/>
            <w:vAlign w:val="bottom"/>
            <w:gridSpan w:val="6"/>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2140" w:type="dxa"/>
            <w:vAlign w:val="bottom"/>
            <w:shd w:val="clear" w:color="auto" w:fill="0000EE"/>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66"/>
        </w:trPr>
        <w:tc>
          <w:tcPr>
            <w:tcW w:w="11020" w:type="dxa"/>
            <w:vAlign w:val="bottom"/>
            <w:gridSpan w:val="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II – Valuation and Qualifying Accounts – For the years ended October 31, 2004, 2003 and 2002</w:t>
              </w:r>
            </w:hyperlink>
          </w:p>
        </w:tc>
        <w:tc>
          <w:tcPr>
            <w:tcW w:w="180" w:type="dxa"/>
            <w:vAlign w:val="bottom"/>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67</w:t>
              </w:r>
            </w:hyperlink>
          </w:p>
        </w:tc>
        <w:tc>
          <w:tcPr>
            <w:tcW w:w="240" w:type="dxa"/>
            <w:vAlign w:val="bottom"/>
          </w:tcPr>
          <w:p>
            <w:pPr>
              <w:spacing w:after="0"/>
              <w:rPr>
                <w:sz w:val="24"/>
                <w:szCs w:val="24"/>
                <w:color w:val="auto"/>
              </w:rPr>
            </w:pPr>
          </w:p>
        </w:tc>
      </w:tr>
      <w:tr>
        <w:trPr>
          <w:trHeight w:val="451"/>
        </w:trPr>
        <w:tc>
          <w:tcPr>
            <w:tcW w:w="6700" w:type="dxa"/>
            <w:vAlign w:val="bottom"/>
            <w:tcBorders>
              <w:top w:val="single" w:sz="8" w:color="0000EE"/>
            </w:tcBorders>
            <w:gridSpan w:val="5"/>
          </w:tcPr>
          <w:p>
            <w:pPr>
              <w:ind w:left="5620"/>
              <w:spacing w:after="0"/>
              <w:rPr>
                <w:sz w:val="20"/>
                <w:szCs w:val="20"/>
                <w:color w:val="auto"/>
              </w:rPr>
            </w:pPr>
            <w:r>
              <w:rPr>
                <w:rFonts w:ascii="Arial" w:cs="Arial" w:eastAsia="Arial" w:hAnsi="Arial"/>
                <w:sz w:val="18"/>
                <w:szCs w:val="18"/>
                <w:color w:val="auto"/>
              </w:rPr>
              <w:t>39</w:t>
            </w:r>
          </w:p>
        </w:tc>
        <w:tc>
          <w:tcPr>
            <w:tcW w:w="6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r>
      <w:tr>
        <w:trPr>
          <w:trHeight w:val="228"/>
        </w:trPr>
        <w:tc>
          <w:tcPr>
            <w:tcW w:w="21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Take-Two Interactive Software, Inc.</w:t>
      </w:r>
    </w:p>
    <w:p>
      <w:pPr>
        <w:spacing w:after="0" w:line="21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our opinion, the consolidated financial statements listed in the accompanying index present fairly, in all material respects, the financial position of Take-Two Interactive Software, Inc. and its subsidiaries (“the Company”) at October 31, 2004 and October 31, 2003, and the results of their operations and their cash flows for each of the three years in the period ended October 31, 2004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15, 2004</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October 31,</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3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ind w:right="333"/>
              <w:spacing w:after="0"/>
              <w:rPr>
                <w:sz w:val="20"/>
                <w:szCs w:val="20"/>
                <w:color w:val="auto"/>
              </w:rPr>
            </w:pPr>
            <w:r>
              <w:rPr>
                <w:rFonts w:ascii="Arial" w:cs="Arial" w:eastAsia="Arial" w:hAnsi="Arial"/>
                <w:sz w:val="14"/>
                <w:szCs w:val="14"/>
                <w:b w:val="1"/>
                <w:bCs w:val="1"/>
                <w:color w:val="auto"/>
                <w:w w:val="96"/>
              </w:rPr>
              <w:t>2003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85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808080"/>
            </w:tcBorders>
          </w:tcPr>
          <w:p>
            <w:pPr>
              <w:spacing w:after="0"/>
              <w:rPr>
                <w:sz w:val="16"/>
                <w:szCs w:val="16"/>
                <w:color w:val="auto"/>
              </w:rPr>
            </w:pPr>
          </w:p>
        </w:tc>
        <w:tc>
          <w:tcPr>
            <w:tcW w:w="1120" w:type="dxa"/>
            <w:vAlign w:val="bottom"/>
            <w:tcBorders>
              <w:bottom w:val="single" w:sz="8" w:color="808080"/>
            </w:tcBorders>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8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85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155,095</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183,477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00" w:type="dxa"/>
            <w:vAlign w:val="bottom"/>
          </w:tcPr>
          <w:p>
            <w:pPr>
              <w:ind w:left="360"/>
              <w:spacing w:after="0"/>
              <w:rPr>
                <w:sz w:val="20"/>
                <w:szCs w:val="20"/>
                <w:color w:val="auto"/>
              </w:rPr>
            </w:pPr>
            <w:r>
              <w:rPr>
                <w:rFonts w:ascii="Arial" w:cs="Arial" w:eastAsia="Arial" w:hAnsi="Arial"/>
                <w:sz w:val="18"/>
                <w:szCs w:val="18"/>
                <w:color w:val="auto"/>
                <w:w w:val="95"/>
              </w:rPr>
              <w:t>Accounts receivable, net of allowances of $72,215 and $62,817 at October 31, 2004 and 2003, respectively</w:t>
            </w:r>
          </w:p>
        </w:tc>
        <w:tc>
          <w:tcPr>
            <w:tcW w:w="12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285,709</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166,536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154,345</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101,748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00" w:type="dxa"/>
            <w:vAlign w:val="bottom"/>
          </w:tcPr>
          <w:p>
            <w:pPr>
              <w:ind w:left="340"/>
              <w:spacing w:after="0"/>
              <w:rPr>
                <w:sz w:val="20"/>
                <w:szCs w:val="20"/>
                <w:color w:val="auto"/>
              </w:rPr>
            </w:pPr>
            <w:r>
              <w:rPr>
                <w:rFonts w:ascii="Arial" w:cs="Arial" w:eastAsia="Arial" w:hAnsi="Arial"/>
                <w:sz w:val="18"/>
                <w:szCs w:val="18"/>
                <w:color w:val="auto"/>
              </w:rPr>
              <w:t>Prepaid royalties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38,220</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12,196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60,018</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41,112</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00" w:type="dxa"/>
            <w:vAlign w:val="bottom"/>
          </w:tcPr>
          <w:p>
            <w:pPr>
              <w:ind w:left="340"/>
              <w:spacing w:after="0"/>
              <w:rPr>
                <w:sz w:val="20"/>
                <w:szCs w:val="20"/>
                <w:color w:val="auto"/>
              </w:rPr>
            </w:pPr>
            <w:r>
              <w:rPr>
                <w:rFonts w:ascii="Arial" w:cs="Arial" w:eastAsia="Arial" w:hAnsi="Arial"/>
                <w:sz w:val="18"/>
                <w:szCs w:val="18"/>
                <w:color w:val="auto"/>
              </w:rPr>
              <w:t>Deferred tax asset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11,554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8,173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8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704,941</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513,242</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8500" w:type="dxa"/>
            <w:vAlign w:val="bottom"/>
          </w:tcPr>
          <w:p>
            <w:pPr>
              <w:ind w:left="340"/>
              <w:spacing w:after="0"/>
              <w:rPr>
                <w:sz w:val="20"/>
                <w:szCs w:val="20"/>
                <w:color w:val="auto"/>
              </w:rPr>
            </w:pPr>
            <w:r>
              <w:rPr>
                <w:rFonts w:ascii="Arial" w:cs="Arial" w:eastAsia="Arial" w:hAnsi="Arial"/>
                <w:sz w:val="18"/>
                <w:szCs w:val="18"/>
                <w:color w:val="auto"/>
              </w:rPr>
              <w:t>Fixed assets, net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34,291</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22,260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Prepaid royalties</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8,439</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00" w:type="dxa"/>
            <w:vAlign w:val="bottom"/>
          </w:tcPr>
          <w:p>
            <w:pPr>
              <w:ind w:left="340"/>
              <w:spacing w:after="0"/>
              <w:rPr>
                <w:sz w:val="20"/>
                <w:szCs w:val="20"/>
                <w:color w:val="auto"/>
              </w:rPr>
            </w:pPr>
            <w:r>
              <w:rPr>
                <w:rFonts w:ascii="Arial" w:cs="Arial" w:eastAsia="Arial" w:hAnsi="Arial"/>
                <w:sz w:val="18"/>
                <w:szCs w:val="18"/>
                <w:color w:val="auto"/>
              </w:rPr>
              <w:t>Capitalized software development costs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27,785</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16,336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135,477</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101,498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00" w:type="dxa"/>
            <w:vAlign w:val="bottom"/>
          </w:tcPr>
          <w:p>
            <w:pPr>
              <w:ind w:left="340"/>
              <w:spacing w:after="0"/>
              <w:rPr>
                <w:sz w:val="20"/>
                <w:szCs w:val="20"/>
                <w:color w:val="auto"/>
              </w:rPr>
            </w:pPr>
            <w:r>
              <w:rPr>
                <w:rFonts w:ascii="Arial" w:cs="Arial" w:eastAsia="Arial" w:hAnsi="Arial"/>
                <w:sz w:val="18"/>
                <w:szCs w:val="18"/>
                <w:color w:val="auto"/>
              </w:rPr>
              <w:t>Intangibles, net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36,104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44,836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Long-term deferred tax asset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0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8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950,513</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707,298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85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8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163,961</w:t>
            </w:r>
          </w:p>
        </w:tc>
        <w:tc>
          <w:tcPr>
            <w:tcW w:w="220" w:type="dxa"/>
            <w:vAlign w:val="bottom"/>
          </w:tcPr>
          <w:p>
            <w:pPr>
              <w:spacing w:after="0"/>
              <w:rPr>
                <w:sz w:val="21"/>
                <w:szCs w:val="21"/>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106,172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128,530</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56,883</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0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17,319</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8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309,810</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165,320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00" w:type="dxa"/>
            <w:vAlign w:val="bottom"/>
          </w:tcPr>
          <w:p>
            <w:pPr>
              <w:ind w:left="340"/>
              <w:spacing w:after="0"/>
              <w:rPr>
                <w:sz w:val="20"/>
                <w:szCs w:val="20"/>
                <w:color w:val="auto"/>
              </w:rPr>
            </w:pPr>
            <w:r>
              <w:rPr>
                <w:rFonts w:ascii="Arial" w:cs="Arial" w:eastAsia="Arial" w:hAnsi="Arial"/>
                <w:sz w:val="18"/>
                <w:szCs w:val="18"/>
                <w:color w:val="auto"/>
              </w:rPr>
              <w:t>Deferred tax liability</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5,233</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8,486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8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315,043</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173,806</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850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2"/>
        </w:trPr>
        <w:tc>
          <w:tcPr>
            <w:tcW w:w="8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00" w:type="dxa"/>
            <w:vAlign w:val="bottom"/>
          </w:tcPr>
          <w:p>
            <w:pPr>
              <w:ind w:left="340"/>
              <w:spacing w:after="0"/>
              <w:rPr>
                <w:sz w:val="20"/>
                <w:szCs w:val="20"/>
                <w:color w:val="auto"/>
              </w:rPr>
            </w:pPr>
            <w:r>
              <w:rPr>
                <w:rFonts w:ascii="Arial" w:cs="Arial" w:eastAsia="Arial" w:hAnsi="Arial"/>
                <w:sz w:val="18"/>
                <w:szCs w:val="18"/>
                <w:color w:val="auto"/>
              </w:rPr>
              <w:t>Common stock, par value $.01 per share;</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00" w:type="dxa"/>
            <w:vAlign w:val="bottom"/>
          </w:tcPr>
          <w:p>
            <w:pPr>
              <w:ind w:left="360"/>
              <w:spacing w:after="0"/>
              <w:rPr>
                <w:sz w:val="20"/>
                <w:szCs w:val="20"/>
                <w:color w:val="auto"/>
              </w:rPr>
            </w:pPr>
            <w:r>
              <w:rPr>
                <w:rFonts w:ascii="Arial" w:cs="Arial" w:eastAsia="Arial" w:hAnsi="Arial"/>
                <w:sz w:val="18"/>
                <w:szCs w:val="18"/>
                <w:color w:val="auto"/>
                <w:w w:val="92"/>
              </w:rPr>
              <w:t>100,000,000 and 50,000,000 shares authorized; 45,439,651 and 44,227,215 shares issued and outstanding at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500" w:type="dxa"/>
            <w:vAlign w:val="bottom"/>
          </w:tcPr>
          <w:p>
            <w:pPr>
              <w:ind w:left="580"/>
              <w:spacing w:after="0"/>
              <w:rPr>
                <w:sz w:val="20"/>
                <w:szCs w:val="20"/>
                <w:color w:val="auto"/>
              </w:rPr>
            </w:pPr>
            <w:r>
              <w:rPr>
                <w:rFonts w:ascii="Arial" w:cs="Arial" w:eastAsia="Arial" w:hAnsi="Arial"/>
                <w:sz w:val="18"/>
                <w:szCs w:val="18"/>
                <w:color w:val="auto"/>
              </w:rPr>
              <w:t>October 31, 2004 and 2003, respectively</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382,156</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350,852</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00" w:type="dxa"/>
            <w:vAlign w:val="bottom"/>
          </w:tcPr>
          <w:p>
            <w:pPr>
              <w:ind w:left="340"/>
              <w:spacing w:after="0"/>
              <w:rPr>
                <w:sz w:val="20"/>
                <w:szCs w:val="20"/>
                <w:color w:val="auto"/>
              </w:rPr>
            </w:pPr>
            <w:r>
              <w:rPr>
                <w:rFonts w:ascii="Arial" w:cs="Arial" w:eastAsia="Arial" w:hAnsi="Arial"/>
                <w:sz w:val="18"/>
                <w:szCs w:val="18"/>
                <w:color w:val="auto"/>
              </w:rPr>
              <w:t>Deferred compensation</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(3,896)</w:t>
            </w:r>
          </w:p>
        </w:tc>
        <w:tc>
          <w:tcPr>
            <w:tcW w:w="5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1"/>
        </w:trPr>
        <w:tc>
          <w:tcPr>
            <w:tcW w:w="8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250,402</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185,024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00" w:type="dxa"/>
            <w:vAlign w:val="bottom"/>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6,354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129"/>
        </w:trPr>
        <w:tc>
          <w:tcPr>
            <w:tcW w:w="8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635,470</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533,492</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8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8500" w:type="dxa"/>
            <w:vAlign w:val="bottom"/>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950,513</w:t>
            </w:r>
          </w:p>
        </w:tc>
        <w:tc>
          <w:tcPr>
            <w:tcW w:w="220" w:type="dxa"/>
            <w:vAlign w:val="bottom"/>
          </w:tcPr>
          <w:p>
            <w:pPr>
              <w:spacing w:after="0"/>
              <w:rPr>
                <w:sz w:val="24"/>
                <w:szCs w:val="24"/>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707,298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8500" w:type="dxa"/>
            <w:vAlign w:val="bottom"/>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-3993515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-3993515</wp:posOffset>
            </wp:positionV>
            <wp:extent cx="215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-3993515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-3993515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-3993515</wp:posOffset>
            </wp:positionV>
            <wp:extent cx="215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-3993515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-395605</wp:posOffset>
            </wp:positionV>
            <wp:extent cx="1854200" cy="4629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854200" cy="46291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3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Years Ended October 31,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33"/>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33"/>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33"/>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920" w:type="dxa"/>
            <w:vAlign w:val="bottom"/>
            <w:tcBorders>
              <w:bottom w:val="single" w:sz="8" w:color="808080"/>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1120" w:type="dxa"/>
            <w:vAlign w:val="bottom"/>
            <w:tcBorders>
              <w:bottom w:val="single" w:sz="8" w:color="808080"/>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1140" w:type="dxa"/>
            <w:vAlign w:val="bottom"/>
            <w:tcBorders>
              <w:bottom w:val="single" w:sz="8" w:color="808080"/>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20" w:type="dxa"/>
            <w:vAlign w:val="bottom"/>
            <w:vMerge w:val="restart"/>
          </w:tcPr>
          <w:p>
            <w:pPr>
              <w:spacing w:after="0"/>
              <w:rPr>
                <w:sz w:val="24"/>
                <w:szCs w:val="24"/>
                <w:color w:val="auto"/>
              </w:rPr>
            </w:pPr>
          </w:p>
        </w:tc>
        <w:tc>
          <w:tcPr>
            <w:tcW w:w="7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1,127,751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1,033,693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794,676</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70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20" w:type="dxa"/>
            <w:vAlign w:val="bottom"/>
          </w:tcPr>
          <w:p>
            <w:pPr>
              <w:ind w:left="320"/>
              <w:spacing w:after="0"/>
              <w:rPr>
                <w:sz w:val="20"/>
                <w:szCs w:val="20"/>
                <w:color w:val="auto"/>
              </w:rPr>
            </w:pPr>
            <w:r>
              <w:rPr>
                <w:rFonts w:ascii="Arial" w:cs="Arial" w:eastAsia="Arial" w:hAnsi="Arial"/>
                <w:sz w:val="18"/>
                <w:szCs w:val="18"/>
                <w:color w:val="auto"/>
              </w:rPr>
              <w:t>Product costs</w:t>
            </w:r>
          </w:p>
        </w:tc>
        <w:tc>
          <w:tcPr>
            <w:tcW w:w="3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619,685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537,257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411,518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Royalties</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114,073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89,294</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80,442</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320"/>
              <w:spacing w:after="0"/>
              <w:rPr>
                <w:sz w:val="20"/>
                <w:szCs w:val="20"/>
                <w:color w:val="auto"/>
              </w:rPr>
            </w:pPr>
            <w:r>
              <w:rPr>
                <w:rFonts w:ascii="Arial" w:cs="Arial" w:eastAsia="Arial" w:hAnsi="Arial"/>
                <w:sz w:val="18"/>
                <w:szCs w:val="18"/>
                <w:color w:val="auto"/>
              </w:rPr>
              <w:t>Software development costs</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15,922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11,003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8,124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cost of sales</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749,680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637,554</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500,084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7020" w:type="dxa"/>
            <w:vAlign w:val="bottom"/>
          </w:tcPr>
          <w:p>
            <w:pPr>
              <w:ind w:left="5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378,071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396,139</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294,592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Selling and marketing</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117,606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103,015</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77,990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3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98,226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88,083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71,544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43,259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25,107</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16,846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16,923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10,829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275,937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233,128</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171,887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7020" w:type="dxa"/>
            <w:vAlign w:val="bottom"/>
          </w:tcPr>
          <w:p>
            <w:pPr>
              <w:ind w:left="540"/>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102,134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163,011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122,705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(2,265)</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Gain on sale of investments</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action settlement costs</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Provision for settlement</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non-operating expense (income)</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5,524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(2,304)</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7020" w:type="dxa"/>
            <w:vAlign w:val="bottom"/>
          </w:tcPr>
          <w:p>
            <w:pPr>
              <w:ind w:left="54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96,610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165,315</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120,938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31,232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67,197</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49,375</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7020" w:type="dxa"/>
            <w:vAlign w:val="bottom"/>
          </w:tcPr>
          <w:p>
            <w:pPr>
              <w:ind w:left="5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65,378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98,118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71,563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32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62"/>
        </w:trPr>
        <w:tc>
          <w:tcPr>
            <w:tcW w:w="70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40" w:type="dxa"/>
            <w:vAlign w:val="bottom"/>
            <w:gridSpan w:val="2"/>
          </w:tcPr>
          <w:p>
            <w:pPr>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44,736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41,965</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38,030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704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7040" w:type="dxa"/>
            <w:vAlign w:val="bottom"/>
            <w:gridSpan w:val="2"/>
          </w:tcPr>
          <w:p>
            <w:pPr>
              <w:spacing w:after="0"/>
              <w:rPr>
                <w:sz w:val="20"/>
                <w:szCs w:val="20"/>
                <w:color w:val="auto"/>
              </w:rPr>
            </w:pPr>
            <w:r>
              <w:rPr>
                <w:rFonts w:ascii="Arial" w:cs="Arial" w:eastAsia="Arial" w:hAnsi="Arial"/>
                <w:sz w:val="18"/>
                <w:szCs w:val="18"/>
                <w:color w:val="auto"/>
              </w:rPr>
              <w:t>Net income per share – Basic</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70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45,682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43,297</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39,570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704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7040" w:type="dxa"/>
            <w:vAlign w:val="bottom"/>
            <w:gridSpan w:val="2"/>
          </w:tcPr>
          <w:p>
            <w:pPr>
              <w:spacing w:after="0"/>
              <w:rPr>
                <w:sz w:val="20"/>
                <w:szCs w:val="20"/>
                <w:color w:val="auto"/>
              </w:rPr>
            </w:pPr>
            <w:r>
              <w:rPr>
                <w:rFonts w:ascii="Arial" w:cs="Arial" w:eastAsia="Arial" w:hAnsi="Arial"/>
                <w:sz w:val="18"/>
                <w:szCs w:val="18"/>
                <w:color w:val="auto"/>
              </w:rPr>
              <w:t>Net income per share – Diluted</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-2175510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-2175510</wp:posOffset>
            </wp:positionV>
            <wp:extent cx="215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-2175510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-2175510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-2175510</wp:posOffset>
            </wp:positionV>
            <wp:extent cx="215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-2175510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-2175510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-2175510</wp:posOffset>
            </wp:positionV>
            <wp:extent cx="215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-2175510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-1403350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-1403350</wp:posOffset>
            </wp:positionV>
            <wp:extent cx="215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-1403350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-1403350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-1403350</wp:posOffset>
            </wp:positionV>
            <wp:extent cx="215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-1403350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-1403350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-1403350</wp:posOffset>
            </wp:positionV>
            <wp:extent cx="215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-1403350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-940435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-940435</wp:posOffset>
            </wp:positionV>
            <wp:extent cx="215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-940435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-940435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-940435</wp:posOffset>
            </wp:positionV>
            <wp:extent cx="215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-940435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-940435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-940435</wp:posOffset>
            </wp:positionV>
            <wp:extent cx="215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-940435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-477520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-477520</wp:posOffset>
            </wp:positionV>
            <wp:extent cx="215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-477520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-477520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-477520</wp:posOffset>
            </wp:positionV>
            <wp:extent cx="215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-477520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-477520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-477520</wp:posOffset>
            </wp:positionV>
            <wp:extent cx="215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-477520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-14605</wp:posOffset>
            </wp:positionV>
            <wp:extent cx="215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215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215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3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gridSpan w:val="5"/>
          </w:tcPr>
          <w:p>
            <w:pPr>
              <w:jc w:val="right"/>
              <w:spacing w:after="0"/>
              <w:rPr>
                <w:sz w:val="20"/>
                <w:szCs w:val="20"/>
                <w:color w:val="auto"/>
              </w:rPr>
            </w:pPr>
            <w:r>
              <w:rPr>
                <w:rFonts w:ascii="Arial" w:cs="Arial" w:eastAsia="Arial" w:hAnsi="Arial"/>
                <w:sz w:val="14"/>
                <w:szCs w:val="14"/>
                <w:b w:val="1"/>
                <w:bCs w:val="1"/>
                <w:color w:val="auto"/>
                <w:w w:val="89"/>
              </w:rPr>
              <w:t>Years Ended October 31,</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2"/>
        </w:trPr>
        <w:tc>
          <w:tcPr>
            <w:tcW w:w="7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65,378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98,118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71,563</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0"/>
                <w:szCs w:val="20"/>
                <w:color w:val="auto"/>
              </w:rPr>
            </w:pP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16,846</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12,516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10,829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Impairment of intellectual property and technology</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Non-cash charges for consolidation of distribution facilities</w:t>
            </w:r>
          </w:p>
        </w:tc>
        <w:tc>
          <w:tcPr>
            <w:tcW w:w="100" w:type="dxa"/>
            <w:vAlign w:val="bottom"/>
          </w:tcPr>
          <w:p>
            <w:pPr>
              <w:spacing w:after="0"/>
              <w:rPr>
                <w:sz w:val="19"/>
                <w:szCs w:val="19"/>
                <w:color w:val="auto"/>
              </w:rPr>
            </w:pP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5,474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Provision for deferred taxes</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(12,693)</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6,726</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Provision for sales allowances</w:t>
            </w:r>
          </w:p>
        </w:tc>
        <w:tc>
          <w:tcPr>
            <w:tcW w:w="100" w:type="dxa"/>
            <w:vAlign w:val="bottom"/>
          </w:tcPr>
          <w:p>
            <w:pPr>
              <w:spacing w:after="0"/>
              <w:rPr>
                <w:sz w:val="19"/>
                <w:szCs w:val="19"/>
                <w:color w:val="auto"/>
              </w:rPr>
            </w:pP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196,287</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120,329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72,096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4,395</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Amortization of various expenses and discounts</w:t>
            </w:r>
          </w:p>
        </w:tc>
        <w:tc>
          <w:tcPr>
            <w:tcW w:w="100" w:type="dxa"/>
            <w:vAlign w:val="bottom"/>
          </w:tcPr>
          <w:p>
            <w:pPr>
              <w:spacing w:after="0"/>
              <w:rPr>
                <w:sz w:val="19"/>
                <w:szCs w:val="19"/>
                <w:color w:val="auto"/>
              </w:rPr>
            </w:pP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19,801</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9,301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6,262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Write off of prepaid royalties and capitalized software</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8,772</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15,616</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Tax benefit from exercise of stock options</w:t>
            </w:r>
          </w:p>
        </w:tc>
        <w:tc>
          <w:tcPr>
            <w:tcW w:w="100" w:type="dxa"/>
            <w:vAlign w:val="bottom"/>
          </w:tcPr>
          <w:p>
            <w:pPr>
              <w:spacing w:after="0"/>
              <w:rPr>
                <w:sz w:val="19"/>
                <w:szCs w:val="19"/>
                <w:color w:val="auto"/>
              </w:rPr>
            </w:pP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4,136</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20,858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Compensatory stock and stock options</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3,331</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120" w:type="dxa"/>
            <w:vAlign w:val="bottom"/>
            <w:gridSpan w:val="2"/>
          </w:tcPr>
          <w:p>
            <w:pPr>
              <w:jc w:val="right"/>
              <w:ind w:right="92"/>
              <w:spacing w:after="0"/>
              <w:rPr>
                <w:sz w:val="20"/>
                <w:szCs w:val="20"/>
                <w:color w:val="auto"/>
              </w:rPr>
            </w:pPr>
            <w:r>
              <w:rPr>
                <w:rFonts w:ascii="Arial" w:cs="Arial" w:eastAsia="Arial" w:hAnsi="Arial"/>
                <w:sz w:val="18"/>
                <w:szCs w:val="18"/>
                <w:color w:val="auto"/>
              </w:rPr>
              <w:t>(1,899)</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35"/>
        </w:trPr>
        <w:tc>
          <w:tcPr>
            <w:tcW w:w="774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Increase in accounts receivable</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(322,438)</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(185,611)</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Increase in inventories</w:t>
            </w:r>
          </w:p>
        </w:tc>
        <w:tc>
          <w:tcPr>
            <w:tcW w:w="100" w:type="dxa"/>
            <w:vAlign w:val="bottom"/>
          </w:tcPr>
          <w:p>
            <w:pPr>
              <w:spacing w:after="0"/>
              <w:rPr>
                <w:sz w:val="19"/>
                <w:szCs w:val="19"/>
                <w:color w:val="auto"/>
              </w:rPr>
            </w:pPr>
          </w:p>
        </w:tc>
        <w:tc>
          <w:tcPr>
            <w:tcW w:w="1120" w:type="dxa"/>
            <w:vAlign w:val="bottom"/>
            <w:gridSpan w:val="2"/>
          </w:tcPr>
          <w:p>
            <w:pPr>
              <w:jc w:val="right"/>
              <w:ind w:right="92"/>
              <w:spacing w:after="0"/>
              <w:rPr>
                <w:sz w:val="20"/>
                <w:szCs w:val="20"/>
                <w:color w:val="auto"/>
              </w:rPr>
            </w:pPr>
            <w:r>
              <w:rPr>
                <w:rFonts w:ascii="Arial" w:cs="Arial" w:eastAsia="Arial" w:hAnsi="Arial"/>
                <w:sz w:val="18"/>
                <w:szCs w:val="18"/>
                <w:color w:val="auto"/>
              </w:rPr>
              <w:t>(50,532)</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(25,146)</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(12,852)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Increase in prepaid royalties</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(27,865)</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(10,764)</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Increase in prepaid expenses and other current assets</w:t>
            </w:r>
          </w:p>
        </w:tc>
        <w:tc>
          <w:tcPr>
            <w:tcW w:w="100" w:type="dxa"/>
            <w:vAlign w:val="bottom"/>
          </w:tcPr>
          <w:p>
            <w:pPr>
              <w:spacing w:after="0"/>
              <w:rPr>
                <w:sz w:val="19"/>
                <w:szCs w:val="19"/>
                <w:color w:val="auto"/>
              </w:rPr>
            </w:pPr>
          </w:p>
        </w:tc>
        <w:tc>
          <w:tcPr>
            <w:tcW w:w="1120" w:type="dxa"/>
            <w:vAlign w:val="bottom"/>
            <w:gridSpan w:val="2"/>
          </w:tcPr>
          <w:p>
            <w:pPr>
              <w:jc w:val="right"/>
              <w:ind w:right="92"/>
              <w:spacing w:after="0"/>
              <w:rPr>
                <w:sz w:val="20"/>
                <w:szCs w:val="20"/>
                <w:color w:val="auto"/>
              </w:rPr>
            </w:pPr>
            <w:r>
              <w:rPr>
                <w:rFonts w:ascii="Arial" w:cs="Arial" w:eastAsia="Arial" w:hAnsi="Arial"/>
                <w:sz w:val="18"/>
                <w:szCs w:val="18"/>
                <w:color w:val="auto"/>
              </w:rPr>
              <w:t>(11,397)</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(7,423)</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Increase in capitalized software development costs</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(12,802)</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(5,152)</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(Increase) decrease in other non-current assets</w:t>
            </w:r>
          </w:p>
        </w:tc>
        <w:tc>
          <w:tcPr>
            <w:tcW w:w="100" w:type="dxa"/>
            <w:vAlign w:val="bottom"/>
          </w:tcPr>
          <w:p>
            <w:pPr>
              <w:spacing w:after="0"/>
              <w:rPr>
                <w:sz w:val="19"/>
                <w:szCs w:val="19"/>
                <w:color w:val="auto"/>
              </w:rPr>
            </w:pPr>
          </w:p>
        </w:tc>
        <w:tc>
          <w:tcPr>
            <w:tcW w:w="1120" w:type="dxa"/>
            <w:vAlign w:val="bottom"/>
            <w:gridSpan w:val="2"/>
          </w:tcPr>
          <w:p>
            <w:pPr>
              <w:jc w:val="right"/>
              <w:ind w:right="92"/>
              <w:spacing w:after="0"/>
              <w:rPr>
                <w:sz w:val="20"/>
                <w:szCs w:val="20"/>
                <w:color w:val="auto"/>
              </w:rPr>
            </w:pPr>
            <w:r>
              <w:rPr>
                <w:rFonts w:ascii="Arial" w:cs="Arial" w:eastAsia="Arial" w:hAnsi="Arial"/>
                <w:sz w:val="18"/>
                <w:szCs w:val="18"/>
                <w:color w:val="auto"/>
              </w:rPr>
              <w:t>(1,301)</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Increase in accounts payable</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62,277</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23,019</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Increase in accrued expenses and other current liabilities</w:t>
            </w:r>
          </w:p>
        </w:tc>
        <w:tc>
          <w:tcPr>
            <w:tcW w:w="100" w:type="dxa"/>
            <w:vAlign w:val="bottom"/>
          </w:tcPr>
          <w:p>
            <w:pPr>
              <w:spacing w:after="0"/>
              <w:rPr>
                <w:sz w:val="19"/>
                <w:szCs w:val="19"/>
                <w:color w:val="auto"/>
              </w:rPr>
            </w:pP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57,614</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4,445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33,834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Increase (decrease) in income taxes payable</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22,548</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(12,492)</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24"/>
                <w:szCs w:val="24"/>
                <w:color w:val="auto"/>
              </w:rPr>
            </w:pP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20,458</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80,628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144,998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9"/>
        </w:trPr>
        <w:tc>
          <w:tcPr>
            <w:tcW w:w="7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Purchase of fixed assets</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(21,586)</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(15,464)</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Sale of investments</w:t>
            </w:r>
          </w:p>
        </w:tc>
        <w:tc>
          <w:tcPr>
            <w:tcW w:w="100" w:type="dxa"/>
            <w:vAlign w:val="bottom"/>
          </w:tcPr>
          <w:p>
            <w:pPr>
              <w:spacing w:after="0"/>
              <w:rPr>
                <w:sz w:val="19"/>
                <w:szCs w:val="19"/>
                <w:color w:val="auto"/>
              </w:rPr>
            </w:pP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6,170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(39,336)</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(27,973)</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Acquisition of intangible assets</w:t>
            </w:r>
          </w:p>
        </w:tc>
        <w:tc>
          <w:tcPr>
            <w:tcW w:w="100" w:type="dxa"/>
            <w:vAlign w:val="bottom"/>
          </w:tcPr>
          <w:p>
            <w:pPr>
              <w:spacing w:after="0"/>
              <w:rPr>
                <w:sz w:val="19"/>
                <w:szCs w:val="19"/>
                <w:color w:val="auto"/>
              </w:rPr>
            </w:pPr>
          </w:p>
        </w:tc>
        <w:tc>
          <w:tcPr>
            <w:tcW w:w="1120" w:type="dxa"/>
            <w:vAlign w:val="bottom"/>
            <w:gridSpan w:val="2"/>
          </w:tcPr>
          <w:p>
            <w:pPr>
              <w:jc w:val="right"/>
              <w:ind w:right="92"/>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investing activities</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4"/>
                <w:szCs w:val="24"/>
                <w:color w:val="auto"/>
              </w:rPr>
            </w:pPr>
          </w:p>
        </w:tc>
        <w:tc>
          <w:tcPr>
            <w:tcW w:w="1120" w:type="dxa"/>
            <w:vAlign w:val="bottom"/>
            <w:gridSpan w:val="2"/>
          </w:tcPr>
          <w:p>
            <w:pPr>
              <w:jc w:val="right"/>
              <w:ind w:right="92"/>
              <w:spacing w:after="0"/>
              <w:rPr>
                <w:sz w:val="20"/>
                <w:szCs w:val="20"/>
                <w:color w:val="auto"/>
              </w:rPr>
            </w:pPr>
            <w:r>
              <w:rPr>
                <w:rFonts w:ascii="Arial" w:cs="Arial" w:eastAsia="Arial" w:hAnsi="Arial"/>
                <w:sz w:val="18"/>
                <w:szCs w:val="18"/>
                <w:color w:val="auto"/>
              </w:rPr>
              <w:t>(64,422)</w:t>
            </w:r>
          </w:p>
        </w:tc>
        <w:tc>
          <w:tcPr>
            <w:tcW w:w="12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(45,881)</w:t>
            </w:r>
          </w:p>
        </w:tc>
        <w:tc>
          <w:tcPr>
            <w:tcW w:w="1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(18,084)</w:t>
            </w:r>
          </w:p>
        </w:tc>
        <w:tc>
          <w:tcPr>
            <w:tcW w:w="0" w:type="dxa"/>
            <w:vAlign w:val="bottom"/>
          </w:tcPr>
          <w:p>
            <w:pPr>
              <w:spacing w:after="0"/>
              <w:rPr>
                <w:sz w:val="1"/>
                <w:szCs w:val="1"/>
                <w:color w:val="auto"/>
              </w:rPr>
            </w:pPr>
          </w:p>
        </w:tc>
      </w:tr>
      <w:tr>
        <w:trPr>
          <w:trHeight w:val="137"/>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9"/>
        </w:trPr>
        <w:tc>
          <w:tcPr>
            <w:tcW w:w="7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repayments under lines of credit</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Proceeds from exercise of stock options and warrants</w:t>
            </w:r>
          </w:p>
        </w:tc>
        <w:tc>
          <w:tcPr>
            <w:tcW w:w="100" w:type="dxa"/>
            <w:vAlign w:val="bottom"/>
          </w:tcPr>
          <w:p>
            <w:pPr>
              <w:spacing w:after="0"/>
              <w:rPr>
                <w:sz w:val="19"/>
                <w:szCs w:val="19"/>
                <w:color w:val="auto"/>
              </w:rPr>
            </w:pP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16,683</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44,865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23,308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financing activities</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Pr>
          <w:p>
            <w:pPr>
              <w:spacing w:after="0"/>
              <w:rPr>
                <w:sz w:val="24"/>
                <w:szCs w:val="24"/>
                <w:color w:val="auto"/>
              </w:rPr>
            </w:pP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16,315</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44,562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(31,988)</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foreign exchange rates</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(4,201)</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7720" w:type="dxa"/>
            <w:vAlign w:val="bottom"/>
          </w:tcPr>
          <w:p>
            <w:pPr>
              <w:ind w:left="320"/>
              <w:spacing w:after="0"/>
              <w:rPr>
                <w:sz w:val="20"/>
                <w:szCs w:val="20"/>
                <w:color w:val="auto"/>
              </w:rPr>
            </w:pPr>
            <w:r>
              <w:rPr>
                <w:rFonts w:ascii="Arial" w:cs="Arial" w:eastAsia="Arial" w:hAnsi="Arial"/>
                <w:sz w:val="18"/>
                <w:szCs w:val="18"/>
                <w:color w:val="auto"/>
              </w:rPr>
              <w:t>Net (decrease) increase in cash for the period</w:t>
            </w:r>
          </w:p>
        </w:tc>
        <w:tc>
          <w:tcPr>
            <w:tcW w:w="100" w:type="dxa"/>
            <w:vAlign w:val="bottom"/>
          </w:tcPr>
          <w:p>
            <w:pPr>
              <w:spacing w:after="0"/>
              <w:rPr>
                <w:sz w:val="24"/>
                <w:szCs w:val="24"/>
                <w:color w:val="auto"/>
              </w:rPr>
            </w:pPr>
          </w:p>
        </w:tc>
        <w:tc>
          <w:tcPr>
            <w:tcW w:w="1120" w:type="dxa"/>
            <w:vAlign w:val="bottom"/>
            <w:gridSpan w:val="2"/>
          </w:tcPr>
          <w:p>
            <w:pPr>
              <w:jc w:val="right"/>
              <w:ind w:right="92"/>
              <w:spacing w:after="0"/>
              <w:rPr>
                <w:sz w:val="20"/>
                <w:szCs w:val="20"/>
                <w:color w:val="auto"/>
              </w:rPr>
            </w:pPr>
            <w:r>
              <w:rPr>
                <w:rFonts w:ascii="Arial" w:cs="Arial" w:eastAsia="Arial" w:hAnsi="Arial"/>
                <w:sz w:val="18"/>
                <w:szCs w:val="18"/>
                <w:color w:val="auto"/>
              </w:rPr>
              <w:t>(28,382)</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75,108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102,313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183,477</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108,369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774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7740" w:type="dxa"/>
            <w:vAlign w:val="bottom"/>
            <w:gridSpan w:val="2"/>
          </w:tcPr>
          <w:p>
            <w:pPr>
              <w:spacing w:after="0"/>
              <w:rPr>
                <w:sz w:val="20"/>
                <w:szCs w:val="20"/>
                <w:color w:val="auto"/>
              </w:rPr>
            </w:pPr>
            <w:r>
              <w:rPr>
                <w:rFonts w:ascii="Arial" w:cs="Arial" w:eastAsia="Arial" w:hAnsi="Arial"/>
                <w:sz w:val="18"/>
                <w:szCs w:val="18"/>
                <w:color w:val="auto"/>
              </w:rPr>
              <w:t>Cash and cash equivalents, end of the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155,095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183,477</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108,369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-14605</wp:posOffset>
            </wp:positionV>
            <wp:extent cx="215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-14605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-14605</wp:posOffset>
            </wp:positionV>
            <wp:extent cx="215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-14605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-14605</wp:posOffset>
            </wp:positionV>
            <wp:extent cx="215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31" w:right="239" w:bottom="873"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873"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85"/>
              </w:rPr>
              <w:t>Years Ended October 31,</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294"/>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294"/>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Supplemental data:</w:t>
            </w:r>
          </w:p>
        </w:tc>
        <w:tc>
          <w:tcPr>
            <w:tcW w:w="320" w:type="dxa"/>
            <w:vAlign w:val="bottom"/>
            <w:tcBorders>
              <w:bottom w:val="single" w:sz="8" w:color="808080"/>
            </w:tcBorders>
          </w:tcPr>
          <w:p>
            <w:pPr>
              <w:spacing w:after="0"/>
              <w:rPr>
                <w:sz w:val="16"/>
                <w:szCs w:val="16"/>
                <w:color w:val="auto"/>
              </w:rPr>
            </w:pPr>
          </w:p>
        </w:tc>
        <w:tc>
          <w:tcPr>
            <w:tcW w:w="920" w:type="dxa"/>
            <w:vAlign w:val="bottom"/>
            <w:tcBorders>
              <w:bottom w:val="single" w:sz="8" w:color="808080"/>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1020" w:type="dxa"/>
            <w:vAlign w:val="bottom"/>
            <w:tcBorders>
              <w:bottom w:val="single" w:sz="8" w:color="808080"/>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72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vMerge w:val="restart"/>
          </w:tcPr>
          <w:p>
            <w:pPr>
              <w:spacing w:after="0"/>
              <w:rPr>
                <w:sz w:val="23"/>
                <w:szCs w:val="23"/>
                <w:color w:val="auto"/>
              </w:rPr>
            </w:pPr>
          </w:p>
        </w:tc>
        <w:tc>
          <w:tcPr>
            <w:tcW w:w="7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during the year for interest</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726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7260" w:type="dxa"/>
            <w:vAlign w:val="bottom"/>
            <w:gridSpan w:val="2"/>
          </w:tcPr>
          <w:p>
            <w:pPr>
              <w:spacing w:after="0"/>
              <w:rPr>
                <w:sz w:val="20"/>
                <w:szCs w:val="20"/>
                <w:color w:val="auto"/>
              </w:rPr>
            </w:pPr>
            <w:r>
              <w:rPr>
                <w:rFonts w:ascii="Arial" w:cs="Arial" w:eastAsia="Arial" w:hAnsi="Arial"/>
                <w:sz w:val="18"/>
                <w:szCs w:val="18"/>
                <w:color w:val="auto"/>
              </w:rPr>
              <w:t>Cash paid during the year for taxes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23,364</w:t>
            </w:r>
          </w:p>
        </w:tc>
        <w:tc>
          <w:tcPr>
            <w:tcW w:w="60" w:type="dxa"/>
            <w:vAlign w:val="bottom"/>
          </w:tcPr>
          <w:p>
            <w:pPr>
              <w:spacing w:after="0"/>
              <w:rPr>
                <w:sz w:val="24"/>
                <w:szCs w:val="2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48,361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30,045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Supplemental information of businesses acquired:</w:t>
            </w:r>
          </w:p>
        </w:tc>
        <w:tc>
          <w:tcPr>
            <w:tcW w:w="32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62"/>
        </w:trPr>
        <w:tc>
          <w:tcPr>
            <w:tcW w:w="72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40" w:type="dxa"/>
            <w:vAlign w:val="bottom"/>
          </w:tcPr>
          <w:p>
            <w:pPr>
              <w:ind w:left="220"/>
              <w:spacing w:after="0"/>
              <w:rPr>
                <w:sz w:val="20"/>
                <w:szCs w:val="20"/>
                <w:color w:val="auto"/>
              </w:rPr>
            </w:pPr>
            <w:r>
              <w:rPr>
                <w:rFonts w:ascii="Arial" w:cs="Arial" w:eastAsia="Arial" w:hAnsi="Arial"/>
                <w:sz w:val="18"/>
                <w:szCs w:val="18"/>
                <w:color w:val="auto"/>
              </w:rPr>
              <w:t>Fair value of assets acquired</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Current assets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Intangible assets</w:t>
            </w: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14,364</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4,720</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ind w:left="46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33,979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38,692</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6,772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240" w:type="dxa"/>
            <w:vAlign w:val="bottom"/>
          </w:tcPr>
          <w:p>
            <w:pPr>
              <w:ind w:left="220"/>
              <w:spacing w:after="0"/>
              <w:rPr>
                <w:sz w:val="20"/>
                <w:szCs w:val="20"/>
                <w:color w:val="auto"/>
              </w:rPr>
            </w:pPr>
            <w:r>
              <w:rPr>
                <w:rFonts w:ascii="Arial" w:cs="Arial" w:eastAsia="Arial" w:hAnsi="Arial"/>
                <w:sz w:val="18"/>
                <w:szCs w:val="18"/>
                <w:color w:val="auto"/>
              </w:rPr>
              <w:t>Less, liabilities assumed</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(6,588)</w:t>
            </w: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(9,826)</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108"/>
        </w:trPr>
        <w:tc>
          <w:tcPr>
            <w:tcW w:w="726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7260" w:type="dxa"/>
            <w:vAlign w:val="bottom"/>
            <w:gridSpan w:val="2"/>
          </w:tcPr>
          <w:p>
            <w:pPr>
              <w:spacing w:after="0"/>
              <w:rPr>
                <w:sz w:val="20"/>
                <w:szCs w:val="20"/>
                <w:color w:val="auto"/>
              </w:rPr>
            </w:pPr>
            <w:r>
              <w:rPr>
                <w:rFonts w:ascii="Arial" w:cs="Arial" w:eastAsia="Arial" w:hAnsi="Arial"/>
                <w:sz w:val="18"/>
                <w:szCs w:val="18"/>
                <w:color w:val="auto"/>
              </w:rPr>
              <w:t>Net assets of businesses acquired, excluding cash</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45,418</w:t>
            </w:r>
          </w:p>
        </w:tc>
        <w:tc>
          <w:tcPr>
            <w:tcW w:w="60" w:type="dxa"/>
            <w:vAlign w:val="bottom"/>
          </w:tcPr>
          <w:p>
            <w:pPr>
              <w:spacing w:after="0"/>
              <w:rPr>
                <w:sz w:val="24"/>
                <w:szCs w:val="2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34,530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7,589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8"/>
        </w:trPr>
        <w:tc>
          <w:tcPr>
            <w:tcW w:w="20" w:type="dxa"/>
            <w:vAlign w:val="bottom"/>
            <w:vMerge w:val="restart"/>
          </w:tcPr>
          <w:p>
            <w:pPr>
              <w:spacing w:after="0"/>
              <w:rPr>
                <w:sz w:val="24"/>
                <w:szCs w:val="24"/>
                <w:color w:val="auto"/>
              </w:rPr>
            </w:pPr>
          </w:p>
        </w:tc>
        <w:tc>
          <w:tcPr>
            <w:tcW w:w="7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businesses acquired</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40,250</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29,257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ind w:left="220"/>
              <w:spacing w:after="0"/>
              <w:rPr>
                <w:sz w:val="20"/>
                <w:szCs w:val="20"/>
                <w:color w:val="auto"/>
              </w:rPr>
            </w:pPr>
            <w:r>
              <w:rPr>
                <w:rFonts w:ascii="Arial" w:cs="Arial" w:eastAsia="Arial" w:hAnsi="Arial"/>
                <w:sz w:val="18"/>
                <w:szCs w:val="18"/>
                <w:color w:val="auto"/>
              </w:rPr>
              <w:t>Less cash acquired</w:t>
            </w:r>
          </w:p>
        </w:tc>
        <w:tc>
          <w:tcPr>
            <w:tcW w:w="3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(914)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paid for businesses acquired</w:t>
            </w: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39,336</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27,973</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7260" w:type="dxa"/>
            <w:vAlign w:val="bottom"/>
            <w:gridSpan w:val="2"/>
          </w:tcPr>
          <w:p>
            <w:pPr>
              <w:spacing w:after="0"/>
              <w:rPr>
                <w:sz w:val="20"/>
                <w:szCs w:val="20"/>
                <w:color w:val="auto"/>
              </w:rPr>
            </w:pPr>
            <w:r>
              <w:rPr>
                <w:rFonts w:ascii="Arial" w:cs="Arial" w:eastAsia="Arial" w:hAnsi="Arial"/>
                <w:sz w:val="18"/>
                <w:szCs w:val="18"/>
                <w:color w:val="auto"/>
              </w:rPr>
              <w:t>Deferred consideration</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of common stock in connection with acquisitions</w:t>
            </w: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6,557</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726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7260" w:type="dxa"/>
            <w:vAlign w:val="bottom"/>
            <w:gridSpan w:val="2"/>
          </w:tcPr>
          <w:p>
            <w:pPr>
              <w:spacing w:after="0"/>
              <w:rPr>
                <w:sz w:val="20"/>
                <w:szCs w:val="20"/>
                <w:color w:val="auto"/>
              </w:rPr>
            </w:pPr>
            <w:r>
              <w:rPr>
                <w:rFonts w:ascii="Arial" w:cs="Arial" w:eastAsia="Arial" w:hAnsi="Arial"/>
                <w:sz w:val="18"/>
                <w:szCs w:val="18"/>
                <w:color w:val="auto"/>
              </w:rPr>
              <w:t>Total consideration</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45,418</w:t>
            </w:r>
          </w:p>
        </w:tc>
        <w:tc>
          <w:tcPr>
            <w:tcW w:w="60" w:type="dxa"/>
            <w:vAlign w:val="bottom"/>
          </w:tcPr>
          <w:p>
            <w:pPr>
              <w:spacing w:after="0"/>
              <w:rPr>
                <w:sz w:val="24"/>
                <w:szCs w:val="2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34,530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7,589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-4027805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-4027805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-4027805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-4027805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-4027805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-4027805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-3564890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-3564890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-3564890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-3564890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-3564890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-3564890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-1712595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-1712595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-1712595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-1712595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-1712595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-1712595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-14605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-14605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-14605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-14605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-14605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October 31, 2002, 2003 and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5"/>
          </w:tcPr>
          <w:p>
            <w:pPr>
              <w:ind w:left="6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2"/>
                <w:szCs w:val="12"/>
                <w:color w:val="auto"/>
              </w:rPr>
            </w:pPr>
          </w:p>
        </w:tc>
        <w:tc>
          <w:tcPr>
            <w:tcW w:w="11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192"/>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Paid-in Capital</w:t>
            </w:r>
          </w:p>
        </w:tc>
        <w:tc>
          <w:tcPr>
            <w:tcW w:w="12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Compensation</w:t>
            </w:r>
          </w:p>
        </w:tc>
        <w:tc>
          <w:tcPr>
            <w:tcW w:w="10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Income (Loss)</w:t>
            </w:r>
          </w:p>
        </w:tc>
        <w:tc>
          <w:tcPr>
            <w:tcW w:w="10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82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Balance, November 1, 2001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36,641</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213,908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15,343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(10,452)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219,165</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tcPr>
          <w:p>
            <w:pPr>
              <w:spacing w:after="0" w:line="138" w:lineRule="exact"/>
              <w:rPr>
                <w:sz w:val="20"/>
                <w:szCs w:val="20"/>
                <w:color w:val="auto"/>
              </w:rPr>
            </w:pPr>
            <w:r>
              <w:rPr>
                <w:rFonts w:ascii="Arial" w:cs="Arial" w:eastAsia="Arial" w:hAnsi="Arial"/>
                <w:sz w:val="14"/>
                <w:szCs w:val="14"/>
                <w:color w:val="auto"/>
                <w:w w:val="96"/>
              </w:rPr>
              <w:t>Foreign currency translation adjustment, net of</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20" w:type="dxa"/>
            <w:vAlign w:val="bottom"/>
            <w:gridSpan w:val="2"/>
          </w:tcPr>
          <w:p>
            <w:pPr>
              <w:spacing w:after="0" w:line="159" w:lineRule="exact"/>
              <w:rPr>
                <w:sz w:val="20"/>
                <w:szCs w:val="20"/>
                <w:color w:val="auto"/>
              </w:rPr>
            </w:pPr>
            <w:r>
              <w:rPr>
                <w:rFonts w:ascii="Arial" w:cs="Arial" w:eastAsia="Arial" w:hAnsi="Arial"/>
                <w:sz w:val="14"/>
                <w:szCs w:val="14"/>
                <w:color w:val="auto"/>
              </w:rPr>
              <w:t>taxes</w:t>
            </w: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5,553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5,553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Net unrealized loss on investments, net of taxes</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of $87</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56"/>
        </w:trPr>
        <w:tc>
          <w:tcPr>
            <w:tcW w:w="28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71,563</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71,563</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Comprehensive income</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76,974</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820" w:type="dxa"/>
            <w:vAlign w:val="bottom"/>
            <w:gridSpan w:val="2"/>
            <w:vMerge w:val="restart"/>
          </w:tcPr>
          <w:p>
            <w:pPr>
              <w:spacing w:after="0"/>
              <w:rPr>
                <w:sz w:val="20"/>
                <w:szCs w:val="20"/>
                <w:color w:val="auto"/>
              </w:rPr>
            </w:pPr>
            <w:r>
              <w:rPr>
                <w:rFonts w:ascii="Arial" w:cs="Arial" w:eastAsia="Arial" w:hAnsi="Arial"/>
                <w:sz w:val="14"/>
                <w:szCs w:val="14"/>
                <w:color w:val="auto"/>
              </w:rPr>
              <w:t>Proceeds from exercise of stock options and</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8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820" w:type="dxa"/>
            <w:vAlign w:val="bottom"/>
            <w:gridSpan w:val="2"/>
          </w:tcPr>
          <w:p>
            <w:pPr>
              <w:spacing w:after="0" w:line="159" w:lineRule="exact"/>
              <w:rPr>
                <w:sz w:val="20"/>
                <w:szCs w:val="20"/>
                <w:color w:val="auto"/>
              </w:rPr>
            </w:pPr>
            <w:r>
              <w:rPr>
                <w:rFonts w:ascii="Arial" w:cs="Arial" w:eastAsia="Arial" w:hAnsi="Arial"/>
                <w:sz w:val="14"/>
                <w:szCs w:val="14"/>
                <w:color w:val="auto"/>
              </w:rPr>
              <w:t>warrants</w:t>
            </w:r>
          </w:p>
        </w:tc>
        <w:tc>
          <w:tcPr>
            <w:tcW w:w="10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2,434</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23,283</w:t>
            </w:r>
          </w:p>
        </w:tc>
        <w:tc>
          <w:tcPr>
            <w:tcW w:w="12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23,308</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deferred compensation</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682</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tcPr>
          <w:p>
            <w:pPr>
              <w:spacing w:after="0" w:line="138" w:lineRule="exact"/>
              <w:rPr>
                <w:sz w:val="20"/>
                <w:szCs w:val="20"/>
                <w:color w:val="auto"/>
              </w:rPr>
            </w:pPr>
            <w:r>
              <w:rPr>
                <w:rFonts w:ascii="Arial" w:cs="Arial" w:eastAsia="Arial" w:hAnsi="Arial"/>
                <w:sz w:val="14"/>
                <w:szCs w:val="14"/>
                <w:color w:val="auto"/>
              </w:rPr>
              <w:t>Deferred compensation in connection with</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20" w:type="dxa"/>
            <w:vAlign w:val="bottom"/>
            <w:gridSpan w:val="2"/>
          </w:tcPr>
          <w:p>
            <w:pPr>
              <w:spacing w:after="0" w:line="159" w:lineRule="exact"/>
              <w:rPr>
                <w:sz w:val="20"/>
                <w:szCs w:val="20"/>
                <w:color w:val="auto"/>
              </w:rPr>
            </w:pPr>
            <w:r>
              <w:rPr>
                <w:rFonts w:ascii="Arial" w:cs="Arial" w:eastAsia="Arial" w:hAnsi="Arial"/>
                <w:sz w:val="14"/>
                <w:szCs w:val="14"/>
                <w:color w:val="auto"/>
              </w:rPr>
              <w:t>restricted stock issued</w:t>
            </w:r>
          </w:p>
        </w:tc>
        <w:tc>
          <w:tcPr>
            <w:tcW w:w="10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50</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908</w:t>
            </w:r>
          </w:p>
        </w:tc>
        <w:tc>
          <w:tcPr>
            <w:tcW w:w="120" w:type="dxa"/>
            <w:vAlign w:val="bottom"/>
          </w:tcPr>
          <w:p>
            <w:pPr>
              <w:spacing w:after="0"/>
              <w:rPr>
                <w:sz w:val="13"/>
                <w:szCs w:val="13"/>
                <w:color w:val="auto"/>
              </w:rPr>
            </w:pPr>
          </w:p>
        </w:tc>
        <w:tc>
          <w:tcPr>
            <w:tcW w:w="11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(909)</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Issuance of common stock in connection with</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acquisition of business and intangibles</w:t>
            </w:r>
          </w:p>
        </w:tc>
        <w:tc>
          <w:tcPr>
            <w:tcW w:w="10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1,212</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22,332</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22,344</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tcPr>
          <w:p>
            <w:pPr>
              <w:spacing w:after="0" w:line="138" w:lineRule="exact"/>
              <w:rPr>
                <w:sz w:val="20"/>
                <w:szCs w:val="20"/>
                <w:color w:val="auto"/>
              </w:rPr>
            </w:pPr>
            <w:r>
              <w:rPr>
                <w:rFonts w:ascii="Arial" w:cs="Arial" w:eastAsia="Arial" w:hAnsi="Arial"/>
                <w:sz w:val="14"/>
                <w:szCs w:val="14"/>
                <w:color w:val="auto"/>
              </w:rPr>
              <w:t>Issuance of compensatory stock and stock</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20" w:type="dxa"/>
            <w:vAlign w:val="bottom"/>
            <w:gridSpan w:val="2"/>
          </w:tcPr>
          <w:p>
            <w:pPr>
              <w:spacing w:after="0" w:line="159" w:lineRule="exact"/>
              <w:rPr>
                <w:sz w:val="20"/>
                <w:szCs w:val="20"/>
                <w:color w:val="auto"/>
              </w:rPr>
            </w:pPr>
            <w:r>
              <w:rPr>
                <w:rFonts w:ascii="Arial" w:cs="Arial" w:eastAsia="Arial" w:hAnsi="Arial"/>
                <w:sz w:val="14"/>
                <w:szCs w:val="14"/>
                <w:color w:val="auto"/>
              </w:rPr>
              <w:t>options</w:t>
            </w:r>
          </w:p>
        </w:tc>
        <w:tc>
          <w:tcPr>
            <w:tcW w:w="10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25</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2,371</w:t>
            </w:r>
          </w:p>
        </w:tc>
        <w:tc>
          <w:tcPr>
            <w:tcW w:w="12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2,371</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Tax benefit in connection with the exercise of</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stock options</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10,700</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10,700</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gridSpan w:val="2"/>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gridSpan w:val="2"/>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5"/>
        </w:trPr>
        <w:tc>
          <w:tcPr>
            <w:tcW w:w="2820" w:type="dxa"/>
            <w:vAlign w:val="bottom"/>
            <w:gridSpan w:val="2"/>
          </w:tcPr>
          <w:p>
            <w:pPr>
              <w:spacing w:after="0"/>
              <w:rPr>
                <w:sz w:val="20"/>
                <w:szCs w:val="20"/>
                <w:color w:val="auto"/>
              </w:rPr>
            </w:pPr>
            <w:r>
              <w:rPr>
                <w:rFonts w:ascii="Arial" w:cs="Arial" w:eastAsia="Arial" w:hAnsi="Arial"/>
                <w:sz w:val="14"/>
                <w:szCs w:val="14"/>
                <w:color w:val="auto"/>
              </w:rPr>
              <w:t>Balance, October 31, 2002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40,362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273,502</w:t>
            </w:r>
          </w:p>
        </w:tc>
        <w:tc>
          <w:tcPr>
            <w:tcW w:w="12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86,906</w:t>
            </w:r>
          </w:p>
        </w:tc>
        <w:tc>
          <w:tcPr>
            <w:tcW w:w="12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(5,041)</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355,544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Foreign currency translation adjustment, net of</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taxes</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4,119</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4,119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tcPr>
          <w:p>
            <w:pPr>
              <w:spacing w:after="0" w:line="138" w:lineRule="exact"/>
              <w:rPr>
                <w:sz w:val="20"/>
                <w:szCs w:val="20"/>
                <w:color w:val="auto"/>
              </w:rPr>
            </w:pPr>
            <w:r>
              <w:rPr>
                <w:rFonts w:ascii="Arial" w:cs="Arial" w:eastAsia="Arial" w:hAnsi="Arial"/>
                <w:sz w:val="14"/>
                <w:szCs w:val="14"/>
                <w:color w:val="auto"/>
                <w:w w:val="93"/>
              </w:rPr>
              <w:t>Net unrealized loss on investments, net of taxes</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20" w:type="dxa"/>
            <w:vAlign w:val="bottom"/>
            <w:gridSpan w:val="2"/>
          </w:tcPr>
          <w:p>
            <w:pPr>
              <w:spacing w:after="0" w:line="159" w:lineRule="exact"/>
              <w:rPr>
                <w:sz w:val="20"/>
                <w:szCs w:val="20"/>
                <w:color w:val="auto"/>
              </w:rPr>
            </w:pPr>
            <w:r>
              <w:rPr>
                <w:rFonts w:ascii="Arial" w:cs="Arial" w:eastAsia="Arial" w:hAnsi="Arial"/>
                <w:sz w:val="14"/>
                <w:szCs w:val="14"/>
                <w:color w:val="auto"/>
              </w:rPr>
              <w:t>of $9</w:t>
            </w: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(14)</w:t>
            </w:r>
          </w:p>
        </w:tc>
        <w:tc>
          <w:tcPr>
            <w:tcW w:w="100" w:type="dxa"/>
            <w:vAlign w:val="bottom"/>
          </w:tcPr>
          <w:p>
            <w:pPr>
              <w:spacing w:after="0"/>
              <w:rPr>
                <w:sz w:val="13"/>
                <w:szCs w:val="13"/>
                <w:color w:val="auto"/>
              </w:rPr>
            </w:pPr>
          </w:p>
        </w:tc>
        <w:tc>
          <w:tcPr>
            <w:tcW w:w="11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98,118</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98,118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2800" w:type="dxa"/>
            <w:vAlign w:val="bottom"/>
          </w:tcPr>
          <w:p>
            <w:pPr>
              <w:ind w:left="80"/>
              <w:spacing w:after="0"/>
              <w:rPr>
                <w:sz w:val="20"/>
                <w:szCs w:val="20"/>
                <w:color w:val="auto"/>
              </w:rPr>
            </w:pPr>
            <w:r>
              <w:rPr>
                <w:rFonts w:ascii="Arial" w:cs="Arial" w:eastAsia="Arial" w:hAnsi="Arial"/>
                <w:sz w:val="14"/>
                <w:szCs w:val="14"/>
                <w:color w:val="auto"/>
              </w:rPr>
              <w:t>Comprehensive income</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102,223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Proceeds from exercise of stock options and</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warrants</w:t>
            </w:r>
          </w:p>
        </w:tc>
        <w:tc>
          <w:tcPr>
            <w:tcW w:w="10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3,404</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44,831</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44,865</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820" w:type="dxa"/>
            <w:vAlign w:val="bottom"/>
            <w:gridSpan w:val="2"/>
          </w:tcPr>
          <w:p>
            <w:pPr>
              <w:spacing w:after="0"/>
              <w:rPr>
                <w:sz w:val="20"/>
                <w:szCs w:val="20"/>
                <w:color w:val="auto"/>
              </w:rPr>
            </w:pPr>
            <w:r>
              <w:rPr>
                <w:rFonts w:ascii="Arial" w:cs="Arial" w:eastAsia="Arial" w:hAnsi="Arial"/>
                <w:sz w:val="14"/>
                <w:szCs w:val="14"/>
                <w:color w:val="auto"/>
              </w:rPr>
              <w:t>Amortization of deferred compensation</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3,427</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3,427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Issuance of common stock in connection with</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acquisition</w:t>
            </w:r>
          </w:p>
        </w:tc>
        <w:tc>
          <w:tcPr>
            <w:tcW w:w="10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236</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6,555</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6,557</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tcPr>
          <w:p>
            <w:pPr>
              <w:spacing w:after="0" w:line="138" w:lineRule="exact"/>
              <w:rPr>
                <w:sz w:val="20"/>
                <w:szCs w:val="20"/>
                <w:color w:val="auto"/>
              </w:rPr>
            </w:pPr>
            <w:r>
              <w:rPr>
                <w:rFonts w:ascii="Arial" w:cs="Arial" w:eastAsia="Arial" w:hAnsi="Arial"/>
                <w:sz w:val="14"/>
                <w:szCs w:val="14"/>
                <w:color w:val="auto"/>
              </w:rPr>
              <w:t>Issuance of compensatory stock and stock</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20" w:type="dxa"/>
            <w:vAlign w:val="bottom"/>
            <w:gridSpan w:val="2"/>
          </w:tcPr>
          <w:p>
            <w:pPr>
              <w:spacing w:after="0" w:line="159" w:lineRule="exact"/>
              <w:rPr>
                <w:sz w:val="20"/>
                <w:szCs w:val="20"/>
                <w:color w:val="auto"/>
              </w:rPr>
            </w:pPr>
            <w:r>
              <w:rPr>
                <w:rFonts w:ascii="Arial" w:cs="Arial" w:eastAsia="Arial" w:hAnsi="Arial"/>
                <w:sz w:val="14"/>
                <w:szCs w:val="14"/>
                <w:color w:val="auto"/>
              </w:rPr>
              <w:t>options</w:t>
            </w:r>
          </w:p>
        </w:tc>
        <w:tc>
          <w:tcPr>
            <w:tcW w:w="10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225</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5,106</w:t>
            </w:r>
          </w:p>
        </w:tc>
        <w:tc>
          <w:tcPr>
            <w:tcW w:w="120" w:type="dxa"/>
            <w:vAlign w:val="bottom"/>
          </w:tcPr>
          <w:p>
            <w:pPr>
              <w:spacing w:after="0"/>
              <w:rPr>
                <w:sz w:val="13"/>
                <w:szCs w:val="13"/>
                <w:color w:val="auto"/>
              </w:rPr>
            </w:pPr>
          </w:p>
        </w:tc>
        <w:tc>
          <w:tcPr>
            <w:tcW w:w="11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(5,090)</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18</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Tax benefit in connection with the exercise of</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stock options</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20,858</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20,858</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gridSpan w:val="2"/>
          </w:tcPr>
          <w:p>
            <w:pPr>
              <w:spacing w:after="0"/>
              <w:rPr>
                <w:sz w:val="10"/>
                <w:szCs w:val="10"/>
                <w:color w:val="auto"/>
              </w:rPr>
            </w:pPr>
          </w:p>
        </w:tc>
        <w:tc>
          <w:tcPr>
            <w:tcW w:w="1020" w:type="dxa"/>
            <w:vAlign w:val="bottom"/>
            <w:tcBorders>
              <w:bottom w:val="single" w:sz="8" w:color="808080"/>
            </w:tcBorders>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gridSpan w:val="2"/>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gridSpan w:val="2"/>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5"/>
        </w:trPr>
        <w:tc>
          <w:tcPr>
            <w:tcW w:w="2820" w:type="dxa"/>
            <w:vAlign w:val="bottom"/>
            <w:gridSpan w:val="2"/>
          </w:tcPr>
          <w:p>
            <w:pPr>
              <w:spacing w:after="0"/>
              <w:rPr>
                <w:sz w:val="20"/>
                <w:szCs w:val="20"/>
                <w:color w:val="auto"/>
              </w:rPr>
            </w:pPr>
            <w:r>
              <w:rPr>
                <w:rFonts w:ascii="Arial" w:cs="Arial" w:eastAsia="Arial" w:hAnsi="Arial"/>
                <w:sz w:val="14"/>
                <w:szCs w:val="14"/>
                <w:color w:val="auto"/>
              </w:rPr>
              <w:t>Balance, October 31, 2003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44,227</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442</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350,852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(1,890)</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185,024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(936)</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533,492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Foreign currency translation adjustment, net of</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taxes</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7,290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7,290</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8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65,378</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65,378</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Comprehensive income</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72,668</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820" w:type="dxa"/>
            <w:vAlign w:val="bottom"/>
            <w:gridSpan w:val="2"/>
            <w:vMerge w:val="restart"/>
          </w:tcPr>
          <w:p>
            <w:pPr>
              <w:spacing w:after="0"/>
              <w:rPr>
                <w:sz w:val="20"/>
                <w:szCs w:val="20"/>
                <w:color w:val="auto"/>
              </w:rPr>
            </w:pPr>
            <w:r>
              <w:rPr>
                <w:rFonts w:ascii="Arial" w:cs="Arial" w:eastAsia="Arial" w:hAnsi="Arial"/>
                <w:sz w:val="14"/>
                <w:szCs w:val="14"/>
                <w:color w:val="auto"/>
              </w:rPr>
              <w:t>Proceeds from exercise of stock options and</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8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820" w:type="dxa"/>
            <w:vAlign w:val="bottom"/>
            <w:gridSpan w:val="2"/>
          </w:tcPr>
          <w:p>
            <w:pPr>
              <w:spacing w:after="0" w:line="159" w:lineRule="exact"/>
              <w:rPr>
                <w:sz w:val="20"/>
                <w:szCs w:val="20"/>
                <w:color w:val="auto"/>
              </w:rPr>
            </w:pPr>
            <w:r>
              <w:rPr>
                <w:rFonts w:ascii="Arial" w:cs="Arial" w:eastAsia="Arial" w:hAnsi="Arial"/>
                <w:sz w:val="14"/>
                <w:szCs w:val="14"/>
                <w:color w:val="auto"/>
              </w:rPr>
              <w:t>warrants</w:t>
            </w:r>
          </w:p>
        </w:tc>
        <w:tc>
          <w:tcPr>
            <w:tcW w:w="10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885</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16,674</w:t>
            </w:r>
          </w:p>
        </w:tc>
        <w:tc>
          <w:tcPr>
            <w:tcW w:w="12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16,683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deferred compensation</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3,331</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3,331</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tcPr>
          <w:p>
            <w:pPr>
              <w:spacing w:after="0" w:line="138" w:lineRule="exact"/>
              <w:rPr>
                <w:sz w:val="20"/>
                <w:szCs w:val="20"/>
                <w:color w:val="auto"/>
              </w:rPr>
            </w:pPr>
            <w:r>
              <w:rPr>
                <w:rFonts w:ascii="Arial" w:cs="Arial" w:eastAsia="Arial" w:hAnsi="Arial"/>
                <w:sz w:val="14"/>
                <w:szCs w:val="14"/>
                <w:color w:val="auto"/>
                <w:w w:val="98"/>
              </w:rPr>
              <w:t>Issuance of common stock in connection with</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20" w:type="dxa"/>
            <w:vAlign w:val="bottom"/>
            <w:gridSpan w:val="2"/>
          </w:tcPr>
          <w:p>
            <w:pPr>
              <w:spacing w:after="0" w:line="159" w:lineRule="exact"/>
              <w:rPr>
                <w:sz w:val="20"/>
                <w:szCs w:val="20"/>
                <w:color w:val="auto"/>
              </w:rPr>
            </w:pPr>
            <w:r>
              <w:rPr>
                <w:rFonts w:ascii="Arial" w:cs="Arial" w:eastAsia="Arial" w:hAnsi="Arial"/>
                <w:sz w:val="14"/>
                <w:szCs w:val="14"/>
                <w:color w:val="auto"/>
              </w:rPr>
              <w:t>acquisition</w:t>
            </w:r>
          </w:p>
        </w:tc>
        <w:tc>
          <w:tcPr>
            <w:tcW w:w="10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164</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5,158</w:t>
            </w:r>
          </w:p>
        </w:tc>
        <w:tc>
          <w:tcPr>
            <w:tcW w:w="12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5,160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compensatory stock and stock</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options</w:t>
            </w:r>
          </w:p>
        </w:tc>
        <w:tc>
          <w:tcPr>
            <w:tcW w:w="10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164</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5,336</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(5,337)</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tcPr>
          <w:p>
            <w:pPr>
              <w:spacing w:after="0" w:line="138" w:lineRule="exact"/>
              <w:rPr>
                <w:sz w:val="20"/>
                <w:szCs w:val="20"/>
                <w:color w:val="auto"/>
              </w:rPr>
            </w:pPr>
            <w:r>
              <w:rPr>
                <w:rFonts w:ascii="Arial" w:cs="Arial" w:eastAsia="Arial" w:hAnsi="Arial"/>
                <w:sz w:val="14"/>
                <w:szCs w:val="14"/>
                <w:color w:val="auto"/>
                <w:w w:val="99"/>
              </w:rPr>
              <w:t>Tax benefit in connection with the exercise of</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820" w:type="dxa"/>
            <w:vAlign w:val="bottom"/>
            <w:gridSpan w:val="2"/>
          </w:tcPr>
          <w:p>
            <w:pPr>
              <w:spacing w:after="0"/>
              <w:rPr>
                <w:sz w:val="20"/>
                <w:szCs w:val="20"/>
                <w:color w:val="auto"/>
              </w:rPr>
            </w:pPr>
            <w:r>
              <w:rPr>
                <w:rFonts w:ascii="Arial" w:cs="Arial" w:eastAsia="Arial" w:hAnsi="Arial"/>
                <w:sz w:val="14"/>
                <w:szCs w:val="14"/>
                <w:color w:val="auto"/>
              </w:rPr>
              <w:t>stock options</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4,136</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4,136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82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Balance, October 31, 2004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45,440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382,156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(3,896)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250,402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6,354</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635,470</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-14605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-14605</wp:posOffset>
            </wp:positionV>
            <wp:extent cx="215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-14605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-14605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-14605</wp:posOffset>
            </wp:positionV>
            <wp:extent cx="215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-14605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-14605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-14605</wp:posOffset>
            </wp:positionV>
            <wp:extent cx="215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-14605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-14605</wp:posOffset>
            </wp:positionV>
            <wp:extent cx="215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-14605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-14605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-14605</wp:posOffset>
            </wp:positionV>
            <wp:extent cx="215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-14605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-14605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-14605</wp:posOffset>
            </wp:positionV>
            <wp:extent cx="215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-14605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-14605</wp:posOffset>
            </wp:positionV>
            <wp:extent cx="215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3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Take-Two Interactive Software, Inc. (the “Company”) was incorporated in the State of Delaware in September 1993. The Company develops interactive software games designed for PCs, video game consoles and handheld platforms and publishes games developed internally and by third parties. The Company also distributes games for video game consoles and handheld platforms published internally and by third parties, as well as hardware and accessories manufactured by third parties.</w:t>
      </w:r>
    </w:p>
    <w:p>
      <w:pPr>
        <w:spacing w:after="0" w:line="191" w:lineRule="exact"/>
        <w:rPr>
          <w:sz w:val="20"/>
          <w:szCs w:val="20"/>
          <w:color w:val="auto"/>
        </w:rPr>
      </w:pPr>
    </w:p>
    <w:p>
      <w:pPr>
        <w:ind w:right="7620" w:firstLine="8"/>
        <w:spacing w:after="0" w:line="504" w:lineRule="auto"/>
        <w:tabs>
          <w:tab w:leader="none" w:pos="439"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consolidated financial statements include the financial statements of the Company and its wholly-owned subsidiaries and for entities for which the Company is deemed to be the primary beneficiary as defined in FASB Interpretation No. 46(R), “Consolidation of Variable Interest Entities”. All material inter-company balances and transactions have been eliminated in consolidation.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Certain amounts in the financial statements of the prior years have been reclassified to conform to the current year presentation for comparative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2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dates of the financial statements and the reported amounts of net sales and expenses during the reporting periods. The most significant estimates and assumptions relate to the recoverability of prepaid royalties, capitalized software development costs and intangibles, valuation of inventories, realization of deferred income taxes and the adequacy of allowances for returns, price concessions and doubtful accounts. Actual amounts could differ significantly from these estimates.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carrying amounts of the Company’s financial instruments, including cash and cash equivalents, accounts receivable, accounts payable and accrued liabilities, approximates fair value because of their short maturities. The carrying amount of prepaid royalties and capitalized software costs approximates fair value based upon the recoverability of these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instruments purchased with original maturities of three months or less to be cash equivalents.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transacts business in various foreign currencies and has significant sales and purchase transactions denominated in foreign currencies. The Company uses forward exchange contracts to mitigate foreign currency risk associated with foreign currency assets and liabilities, primarily certain intercompany receivables and payables. The Company does not designate foreign currency forward contracts as hedging instruments under SFAS No. 133, “Accounting for Derivative Instruments and Hedging Activities”. As a result the Company marks to market its foreign currency forward contracts each period and any gains and losses are recognized in net income. At October 31, 2004, the Company has forward contracts to buy British pounds through February 15, 2005. The notional value and fair value of such contracts were $8,002 and $8,553,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significant portion of the Company’s cash balance is maintained with several major financial institutions. While the Company attempts to limit credit exposure with any single institution, there are times that balances will exceed insurable amounts.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the financial condition and operations of the Company’s customers deteriorate, the risk of collection could increase substantially. As of October 31, 2004 and 2003, the receivable balances from the Company’s five largest customers amounted to approximately 45.1% and 54.6% of the Company’s net receivable balance, respectively, with two customers accounting for 12.8% and 11.2% of such balance at October 31, 2004 and with two customers representing 16.6% and 11.7% at October 31, 2003. Except for the largest customers noted above, all receivable balances from the remaining individual customers are less than 10% of the Company’s net receivable balance.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 net</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Inventories are stated at the lower of average cost or market. The Company periodically evaluates the carrying value of its inventories and makes adjustments as necessary. Estimated product returns are included in the inventory balance at their cost.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Royalties</w:t>
      </w:r>
    </w:p>
    <w:p>
      <w:pPr>
        <w:spacing w:after="0" w:line="23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Company’s agreements with licensors and developers generally provide it with exclusive publishing rights and require it to make advance royalty payments that are recouped against royalties due to the developer based on contractual amounts on product sales, adjusted for certain related costs. Prepaid royalties are amortized as cost of sales on a title-by-title basis based on the greater of the proportion of current year sales to total of current and estimated future sales for that title or the contractual royalty rate based on actual net product sales as defined in the respective agreements. At each balance sheet date, the Company evaluates the recoverability of prepaid royalties and charge to cost of sales the amount that management determines is probable that will not be recouped at the contractual royalty rate based on current and future sales in the period in which such determination is made or if the Company determines that it will cancel a development project. Prepaid royalties are classified as current and non-current assets based upon estimated net product sales within the next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3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Office equipment, furniture and fixtures are depreciated using the straight-line method over their estimated lives ranging from five to seven years. Computer equipment and software are depreciated using the straight-line method over three years. Leasehold improvements are amortized over the lesser of the term of the related lease or estimated useful lives. The cost of additions and betterments are capitalized, and repairs and maintenance costs are charged to operations in the periods incurred. When depreciable assets are retired or sold, the cost and related allowances for depreciation are removed from the accounts and the gain or loss is recognized. The carrying amounts of these assets are recorded at historical cost.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Development Costs</w:t>
      </w:r>
    </w:p>
    <w:p>
      <w:pPr>
        <w:spacing w:after="0" w:line="23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capitalizes internal software development costs, as well as film production and other content costs, subsequent to establishing technological feasibility of a title. Capitalized software development costs represent the costs associated with the internal development of the Company’s publishing products. Amortization of such costs as a component of cost of sales is recorded on a title-by-title basis based on the greater of the proportion of current year sales to total of current and estimated future sales for the title or the straight-line method over the remaining estimated useful life of the title. At each balance sheet date, the Company evaluates the recoverability of capitalized software costs based on undiscounted future cash flows and will charge to cost of sales any amounts that are deemed unrecoverable or for projects that it will abandon.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3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Goodwill is the excess purchase price paid over identified intangible and tangible net assets of acquired companies. Intangible assets consist of trademarks, intellectual property, non-compete agreements, customer lists and acquired technology. Certain intangible assets acquired in a business combination are recognized as assets apart from goodwill. Identifiable intangibles are amortized using the straight-line method over the period of expected benefit ranging from three to ten years, except for intellectual property, which is amortized based on the shorter of the useful life or expected revenue stream. Intangible assets with indefinite lives, if any, and goodwill are not amortized.</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The Company performs an annual test for impairment of goodwill, in the fourth quarter of each fiscal year. The Company determines the fair value of each reporting unit using discounted cash flow analysis and compares such values to the respective reporting unit’s carrying amount. At October 31, 2004 and 2003, the fair value of the Company’s reporting units exceeded the carrying amounts and no impairment was indicated.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reviews all long-lived assets whenever events or changes in circumstances indicate that the carrying amount of an asset may not be recoverable, including assets to be disposed of by sale, whether previously held and used or newly acquired. The Company compares the carrying amount of the asset to the estimated undiscounted future cash flows expected to result from the use of the asset. If the carrying amount of the asset exceeds estimated expected undiscounted future cash flows, the Company records an impairment charge for the difference between the carrying amount of the asset and its fair value. The estimated fair value is generally measured by discounting expected future cash flows at the Company’s incremental borrowing rate or fair value, if available.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recognizes deferred taxes under the asset and liability method of accounting for income taxes. Under the asset and liability method, deferred income taxes are recognized for differences between the financial statement and tax bases of assets and liabilities at currently enacted statutory tax rates for the years in which the differences are expected to reverse. The effect on deferred taxes of a change in tax rates is recognized in income in the period that includes the enactment date. Valuation allowances are established when necessary to reduce deferred tax assets to the amounts expected to be realized after considering tax planning strategies, if applicable. No income taxes have been provided on the undistributed earnings of foreign subsidiaries, as such earnings are expected to be permanently reinvested in those companies.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earns its revenue from the sale of internally developed interactive software titles and from the sale of titles licensed from third-party developers (“Publishing revenue”). The Company also earns revenue from the sale of interactive software titles published by third parties, hardware and accessories (“Distribution revenue”).</w:t>
      </w:r>
    </w:p>
    <w:p>
      <w:pPr>
        <w:spacing w:after="0" w:line="194"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Company recognizes revenue upon the transfer of title and risk of loss to its customers. The Company applies the provisions of Statement of Position 97-2, “Software Revenue Recognition”in conjunction with the applicable provisions of Staff Accounting Bulletin No. 104, “Revenue Recognition.”Accordingly, the Company recognizes revenue for software titles when there is (1) persuasive evidence that an arrangement with our customer exists, which is generally a customer purchase order, (2) the software is delivered, (3) the selling price is fixed or determinable and (4) collection of the customer receivable is deemed probable. The Company’s payment arrangements with customers typically provide net 30 and 60-day terms.</w:t>
      </w:r>
    </w:p>
    <w:p>
      <w:pPr>
        <w:spacing w:after="0" w:line="17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Revenue is recognized after deducting estimated reserves for returns and price concessions. In circumstances when the Company does not have a reliable basis to estimate returns and price concessions or is unable to determine that collection of a receivable is probable, it defers the sale until such time as it can reliably estimate any related returns and allowances and determine that collection of the receivable is probable.</w:t>
      </w:r>
    </w:p>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accepts returns and grants price concessions in connection with its publishing arrangements. Following reductions in the price of the Company’s products, it grants price concessions to permit customers to take credits against amounts they owe the Company with respect to merchandise unsold by them. The Company’s customers must satisfy certain conditions to entitle them to return products or receive price concessions, including compliance with applicable payment terms and confirmation of field inventory levels.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distribution arrangements with customers do not give them the right to return titles or to cancel firm orders. However, the Company sometimes accepts returns from its distribution customers for stock balancing and makes accommodations to customers, which includes credits and returns, when demand for specific titles falls below expectations.</w:t>
      </w:r>
    </w:p>
    <w:p>
      <w:pPr>
        <w:spacing w:after="0" w:line="19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Company makes estimates of future product returns and price concessions related to current period product revenue. The Company estimates the amount of future returns and price concessions for published titles based upon, among other factors, historical experience, customer inventory levels, analysis of sell-through rates, market conditions and changes in demand and acceptance of its products by consumers.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Significant management judgments and estimates must be made and used in connection with establishing the allowance for returns and price concessions in any accounting period. The Company believes it can make reliable estimates of returns and price concessions. However, actual results may differ from initial estimates as a result of changes in circumstances, market conditions and assumptions. Adjustments to estimates are recorded in the period in which they become known.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Given to Customers and Received from Vendors</w:t>
      </w:r>
    </w:p>
    <w:p>
      <w:pPr>
        <w:spacing w:after="0" w:line="23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Company has various marketing arrangements with retailers and distributors of its products that provide for cooperative advertising and market develop funds, among others. Such amounts are accrued as a reduction to revenue when revenue is recognized, except for cooperative advertising which is included in selling and marketing expenses if there is a separate identifiable benefit and the benefit’s fair value can be established.</w:t>
      </w:r>
    </w:p>
    <w:p>
      <w:pPr>
        <w:spacing w:after="0" w:line="16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Company also receives various incentives from its manufacturers. Such amounts are generally accounted for as a reduction in the price of the manufacturers product and included as a reduction of inventory or cost of sales, except where the incentive is in exchange for services rendered by the Company. Incentives in exchange for services are included in revenue providing there is an identifiable benefit to the vendor and the benefit’s value can be established.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expenses advertising costs as incurred. Advertising expense for the years ended October 31, 2004, 2003, and 2002 amounted to $72,165, $55,795 and $39,909,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Company accounts for its employee stock option plans in accordance with Accounting Principles Board Opinion No. 25, “Accounting for Stock Issued to Employees” (“APB 25”). Under APB 25, generally no compensation expense is recorded when the terms of the award are fixed and the exercise price of the employee stock option equals or exceeds the fair value of the underlying stock on the date of grant. The Company adopted the disclosure-only provisions of Statement of Financial Accounting Standards No. 123, “Accounting for Stock-Based Compensation”(“SFAS 123”).</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Had compensation cost for the Company’s stock option plans been determined based on the fair value at the grant date for awards consistent with the provisions of SFAS No. 123, the Company’s net income and the net income per share would have been reduced to the proforma amounts indicated below:</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Years Ended October 31</w:t>
            </w: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156"/>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6140" w:type="dxa"/>
            <w:vAlign w:val="bottom"/>
            <w:gridSpan w:val="2"/>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65,378</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98,118</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71,563</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w w:val="90"/>
              </w:rPr>
              <w:t>Add: Stock-based employee compensation expense included in reported net income,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net of related tax effects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w w:val="92"/>
              </w:rPr>
              <w:t>Deduct: Total stock-based employee compensation expense determined under fair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 based method for all awards, net of related tax effects</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(15,946)</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(18,194)</w:t>
            </w:r>
          </w:p>
        </w:tc>
        <w:tc>
          <w:tcPr>
            <w:tcW w:w="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(16,415)</w:t>
            </w:r>
          </w:p>
        </w:tc>
        <w:tc>
          <w:tcPr>
            <w:tcW w:w="0" w:type="dxa"/>
            <w:vAlign w:val="bottom"/>
          </w:tcPr>
          <w:p>
            <w:pPr>
              <w:spacing w:after="0"/>
              <w:rPr>
                <w:sz w:val="1"/>
                <w:szCs w:val="1"/>
                <w:color w:val="auto"/>
              </w:rPr>
            </w:pPr>
          </w:p>
        </w:tc>
      </w:tr>
      <w:tr>
        <w:trPr>
          <w:trHeight w:val="122"/>
        </w:trPr>
        <w:tc>
          <w:tcPr>
            <w:tcW w:w="6140" w:type="dxa"/>
            <w:vAlign w:val="bottom"/>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6140" w:type="dxa"/>
            <w:vAlign w:val="bottom"/>
            <w:gridSpan w:val="2"/>
          </w:tcPr>
          <w:p>
            <w:pPr>
              <w:spacing w:after="0"/>
              <w:rPr>
                <w:sz w:val="20"/>
                <w:szCs w:val="20"/>
                <w:color w:val="auto"/>
              </w:rPr>
            </w:pPr>
            <w:r>
              <w:rPr>
                <w:rFonts w:ascii="Arial" w:cs="Arial" w:eastAsia="Arial" w:hAnsi="Arial"/>
                <w:sz w:val="18"/>
                <w:szCs w:val="18"/>
                <w:color w:val="auto"/>
              </w:rPr>
              <w:t>Proforma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51,468</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82,047</w:t>
            </w:r>
          </w:p>
        </w:tc>
        <w:tc>
          <w:tcPr>
            <w:tcW w:w="16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57,026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0"/>
        </w:trPr>
        <w:tc>
          <w:tcPr>
            <w:tcW w:w="61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 –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120" w:type="dxa"/>
            <w:vAlign w:val="bottom"/>
          </w:tcPr>
          <w:p>
            <w:pPr>
              <w:ind w:left="260"/>
              <w:spacing w:after="0"/>
              <w:rPr>
                <w:sz w:val="20"/>
                <w:szCs w:val="20"/>
                <w:color w:val="auto"/>
              </w:rPr>
            </w:pPr>
            <w:r>
              <w:rPr>
                <w:rFonts w:ascii="Arial" w:cs="Arial" w:eastAsia="Arial" w:hAnsi="Arial"/>
                <w:sz w:val="18"/>
                <w:szCs w:val="18"/>
                <w:color w:val="auto"/>
              </w:rPr>
              <w:t>Basic – proforma</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 – as reported</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20" w:type="dxa"/>
            <w:vAlign w:val="bottom"/>
          </w:tcPr>
          <w:p>
            <w:pPr>
              <w:ind w:left="260"/>
              <w:spacing w:after="0"/>
              <w:rPr>
                <w:sz w:val="20"/>
                <w:szCs w:val="20"/>
                <w:color w:val="auto"/>
              </w:rPr>
            </w:pPr>
            <w:r>
              <w:rPr>
                <w:rFonts w:ascii="Arial" w:cs="Arial" w:eastAsia="Arial" w:hAnsi="Arial"/>
                <w:sz w:val="18"/>
                <w:szCs w:val="18"/>
                <w:color w:val="auto"/>
              </w:rPr>
              <w:t>Diluted – proforma</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-1005840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-1005840</wp:posOffset>
            </wp:positionV>
            <wp:extent cx="215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-1005840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-1005840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-1005840</wp:posOffset>
            </wp:positionV>
            <wp:extent cx="215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-1005840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-1005840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-1005840</wp:posOffset>
            </wp:positionV>
            <wp:extent cx="215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-1005840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proforma disclosures shown are not representative of the effects on net income and the net income per share in future periods.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weighted average fair values of options granted are $18.39, $15.05 and $9.13 for the years ended October 31, 2004, 2003 and 2002. The fair value of the Company’s stock options used to compute proforma net income and the net income per share disclosures is the estimated present value at the grant date using the Black-Scholes option-pricing model with the following assumptions: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820" w:type="dxa"/>
            <w:vAlign w:val="bottom"/>
          </w:tcPr>
          <w:p>
            <w:pPr>
              <w:jc w:val="right"/>
              <w:ind w:right="156"/>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800" w:type="dxa"/>
            <w:vAlign w:val="bottom"/>
          </w:tcPr>
          <w:p>
            <w:pPr>
              <w:jc w:val="right"/>
              <w:ind w:right="156"/>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800" w:type="dxa"/>
            <w:vAlign w:val="bottom"/>
          </w:tcPr>
          <w:p>
            <w:pPr>
              <w:jc w:val="right"/>
              <w:ind w:right="136"/>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71.9%</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78.0%</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until exercise (years)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Dividends</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None</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None</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231"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Basic earnings per share (“EPS”) is computed by dividing the net income applicable to common stockholders for the year by the weighted-average number of common shares outstanding during the year. Diluted EPS is computed by dividing the net income applicable to common stockholders for the year by the weighted-average number of common and common stock equivalents, which include common shares issuable upon the exercise of stock options, restricted stock (for fiscal 2004 and 2003) and warrants outstanding during the year. Common stock equivalents are excluded from the computation if their effect is antidilutive.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functional currency for the Company’s foreign operations is primarily the applicable local currency. Accounts of foreign operations are translated into U.S. dollars using exchange rates for assets and liabilities at the balance sheet date and average prevailing exchange rates for the period for revenue and expense accounts. Adjustments resulting from translation are included in other comprehensive income (loss). Realized and unrealized transaction gains and losses are included in income in the period in which they occur, except on intercompany balances considered to be long term. Transaction gains and losses on intercompany balances considered to be long term are recorded in other comprehensive income, net of taxes. Foreign exchange transaction gains included in net income for years ended October 31, 2004, 2003 and 2002 amounted to $1,199, $2,015 and $840, respectively.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Comprehensive income (loss) includes net income adjusted for the change in foreign currency translation adjustments net of tax, if applicable, and the change in net unrealized gain (loss) from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New Accounting Pronouncements</w:t>
      </w:r>
    </w:p>
    <w:p>
      <w:pPr>
        <w:spacing w:after="0" w:line="23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December 2004, the Financial Accounting Standards Board (“FASB”) issued Statement of Financial Accounting Standards No. 123 (revised 2004), “Share-Based Payment” which revised Statement of Financial Accounting Standards No. 123, “Accounting for Stock-Based Compensation. This statement supercedes APB Opinion No. 25, “Accounting for Stock Issued to Employees.” The revised statement addresses the accounting for share-based payment transactions with employees and other third parties, eliminates the ability to account for share-based compensation transactions using APB 25 and requires that the compensation costs relating to such transactions be recognized in the consolidated statement of operations. The revised statement is effective as of the first interim period beginning after June 15, 2005. The adoption of this standard, effective August 1, 2005, is expected to have a material impact on the consolidated financial statements.</w:t>
      </w:r>
    </w:p>
    <w:p>
      <w:pPr>
        <w:spacing w:after="0" w:line="20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December 2003, The Financial Accounting Standards Board (“FASB”) revised Interpretation No. 46 “Consolidation of Variable Interest Entities” with certain clarifications and modifications. Revised Interpretation No. 46(R) provides guidance on the identification of variable interest entities, entities for which control is achieved through means other than through voting rights, and how to determine whether a variable interest holder should consolidate the variable interest entities. This Interpretation is required to be applied to all entities subject to this Interpretation no later than the first reporting period that ends after March 15, 2004. The adoption of the revised Interpretation did not have a material impact on the consolidated financial statements.</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December 2003, the SEC issued Staff Accounting Bulletin (“SAB”) No. 104, “Revenue Recognition,” which supercedes SAB No. 101, “Revenue Recognition in Financial Statements.” The primary purpose of SAB No. 104 is to rescind accounting guidance contained in SAB No. 101 related to multiple element revenue arrangements, superceded as a result of the issuance of Emerging Issues Task Force (“EITF”) Issue No. 00-21, “Accounting for Revenue Arrangements with Multiple Deliverables.” Additionally, SAB No. 104 rescinds the SEC’s Revenue Recognition in Financial Statements Frequently Asked Questions and Answers (“FAQ”) issued with SAB No. 101. The adoption of SAB No. 104 in the first quarter of 2004 did not have a material impact on the consolidated financial statements.</w:t>
      </w:r>
    </w:p>
    <w:p>
      <w:pPr>
        <w:spacing w:after="0" w:line="192"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 AND CONSOLIDATION</w:t>
      </w:r>
    </w:p>
    <w:p>
      <w:pPr>
        <w:spacing w:after="0" w:line="23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acquisitions described below have been accounted for as purchase transactions, accordingly, the results of operations and financial position of the acquired businesses are included in the Company’s consolidated financial statements from the respective dates of acquisition. To the extent that the purchase price allocation for these acquisitions is preliminary, the Company does not expect that the final purchase price allocation will be materially different. With the exception of the acquisition of TDK for fiscal 2003, the proforma impact of these acquisitions was not material.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Transactions</w:t>
      </w:r>
    </w:p>
    <w:p>
      <w:pPr>
        <w:spacing w:after="0" w:line="2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In October 2004, the Company acquired certain assets from Microsoft including Indie the developer of the successful </w:t>
      </w:r>
      <w:r>
        <w:rPr>
          <w:rFonts w:ascii="Arial" w:cs="Arial" w:eastAsia="Arial" w:hAnsi="Arial"/>
          <w:sz w:val="18"/>
          <w:szCs w:val="18"/>
          <w:i w:val="1"/>
          <w:iCs w:val="1"/>
          <w:color w:val="auto"/>
        </w:rPr>
        <w:t>Top Spin</w:t>
      </w:r>
      <w:r>
        <w:rPr>
          <w:rFonts w:ascii="Arial" w:cs="Arial" w:eastAsia="Arial" w:hAnsi="Arial"/>
          <w:sz w:val="18"/>
          <w:szCs w:val="18"/>
          <w:color w:val="auto"/>
        </w:rPr>
        <w:t xml:space="preserve"> (tennis), </w:t>
      </w:r>
      <w:r>
        <w:rPr>
          <w:rFonts w:ascii="Arial" w:cs="Arial" w:eastAsia="Arial" w:hAnsi="Arial"/>
          <w:sz w:val="18"/>
          <w:szCs w:val="18"/>
          <w:i w:val="1"/>
          <w:iCs w:val="1"/>
          <w:color w:val="auto"/>
        </w:rPr>
        <w:t>Amped</w:t>
      </w:r>
      <w:r>
        <w:rPr>
          <w:rFonts w:ascii="Arial" w:cs="Arial" w:eastAsia="Arial" w:hAnsi="Arial"/>
          <w:sz w:val="18"/>
          <w:szCs w:val="18"/>
          <w:color w:val="auto"/>
        </w:rPr>
        <w:t xml:space="preserve"> and </w:t>
      </w:r>
      <w:r>
        <w:rPr>
          <w:rFonts w:ascii="Arial" w:cs="Arial" w:eastAsia="Arial" w:hAnsi="Arial"/>
          <w:sz w:val="18"/>
          <w:szCs w:val="18"/>
          <w:i w:val="1"/>
          <w:iCs w:val="1"/>
          <w:color w:val="auto"/>
        </w:rPr>
        <w:t>Amped 2</w:t>
      </w:r>
      <w:r>
        <w:rPr>
          <w:rFonts w:ascii="Arial" w:cs="Arial" w:eastAsia="Arial" w:hAnsi="Arial"/>
          <w:sz w:val="18"/>
          <w:szCs w:val="18"/>
          <w:color w:val="auto"/>
        </w:rPr>
        <w:t xml:space="preserve"> (snowboarding) and </w:t>
      </w:r>
      <w:r>
        <w:rPr>
          <w:rFonts w:ascii="Arial" w:cs="Arial" w:eastAsia="Arial" w:hAnsi="Arial"/>
          <w:sz w:val="18"/>
          <w:szCs w:val="18"/>
          <w:i w:val="1"/>
          <w:iCs w:val="1"/>
          <w:color w:val="auto"/>
        </w:rPr>
        <w:t>Links</w:t>
      </w:r>
      <w:r>
        <w:rPr>
          <w:rFonts w:ascii="Arial" w:cs="Arial" w:eastAsia="Arial" w:hAnsi="Arial"/>
          <w:sz w:val="18"/>
          <w:szCs w:val="18"/>
          <w:color w:val="auto"/>
        </w:rPr>
        <w:t xml:space="preserve"> (golf) and the intellectual property rights associated with these products. The purchase price for these assets was $18,500 paid in cash at closing. In connection with the acquisition the Company recorded $5,828 in identifiable intangible assets, $11,593 of goodwill and $280 of fixed assets, and accounts receivable of $829 on a preliminary basis.</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December 2003, the Company acquired all of the outstanding capital stock and assumed certain liabilities of TDK Mediactive, Inc. (“TDK”). The purchase price consisted of $16,827 in cash (which is net of $8,051 previously due to TDK under a distribution agreement) and issuance of 163,641 shares of our restricted stock valued at $5,160. In connection with the acquisition, the Company recorded identifiable intangibles of $7,690, goodwill of $17,079 and net liabilities of $10,833.</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The unaudited proforma data below for the year ended October 31, 2003 is presented as if the purchase of TDK Mediactive had been made as of November 1, 2002. The unaudited proforma financial information is based on management’s estimates and assumptions and does not purport to represent the results that actually would have occurred if the acquisition had, in fact, been completed on the date assumed, or which may result in the future. Proforma financial information for fiscal 2004 is not presented since the impact is not material as the acquisition was made near the beginning of the fiscal year.</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October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20" w:type="dxa"/>
            <w:vAlign w:val="bottom"/>
            <w:vMerge w:val="restart"/>
          </w:tcPr>
          <w:p>
            <w:pPr>
              <w:spacing w:after="0"/>
              <w:rPr>
                <w:sz w:val="24"/>
                <w:szCs w:val="24"/>
                <w:color w:val="auto"/>
              </w:rPr>
            </w:pPr>
          </w:p>
        </w:tc>
        <w:tc>
          <w:tcPr>
            <w:tcW w:w="7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1,063,359</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798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2"/>
        </w:trPr>
        <w:tc>
          <w:tcPr>
            <w:tcW w:w="7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80,403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8"/>
        </w:trPr>
        <w:tc>
          <w:tcPr>
            <w:tcW w:w="20" w:type="dxa"/>
            <w:vAlign w:val="bottom"/>
            <w:vMerge w:val="restart"/>
          </w:tcPr>
          <w:p>
            <w:pPr>
              <w:spacing w:after="0"/>
              <w:rPr>
                <w:sz w:val="24"/>
                <w:szCs w:val="24"/>
                <w:color w:val="auto"/>
              </w:rPr>
            </w:pPr>
          </w:p>
        </w:tc>
        <w:tc>
          <w:tcPr>
            <w:tcW w:w="7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7980" w:type="dxa"/>
            <w:vAlign w:val="bottom"/>
            <w:gridSpan w:val="2"/>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980" w:type="dxa"/>
            <w:vAlign w:val="bottom"/>
            <w:gridSpan w:val="2"/>
          </w:tcPr>
          <w:p>
            <w:pPr>
              <w:spacing w:after="0"/>
              <w:rPr>
                <w:sz w:val="20"/>
                <w:szCs w:val="20"/>
                <w:color w:val="auto"/>
              </w:rPr>
            </w:pPr>
            <w:r>
              <w:rPr>
                <w:rFonts w:ascii="Arial" w:cs="Arial" w:eastAsia="Arial" w:hAnsi="Arial"/>
                <w:sz w:val="18"/>
                <w:szCs w:val="18"/>
                <w:color w:val="auto"/>
              </w:rPr>
              <w:t>Net income per share –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-786130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-786130</wp:posOffset>
            </wp:positionV>
            <wp:extent cx="215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-786130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-323215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-323215</wp:posOffset>
            </wp:positionV>
            <wp:extent cx="215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-323215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-14605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-14605</wp:posOffset>
            </wp:positionV>
            <wp:extent cx="215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During 2004, the Company made two other acquisitions of UK-based developers, Venom and Mobius, for a purchase price of $5,844, of which $4,922 was paid at closing and $922 is due in March 2005. In connection with these acquisitions, the Company recorded identifiable intangibles of $846 and goodwill of $5,307 on a preliminary basis. The Company also agreed to make additional contingent payments, in connection with one of the acquisitions, of approximately $2,000 based on delivery of products, which will be recorded as additional purchase price when the conditions requiring their payment are met.</w:t>
      </w:r>
    </w:p>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October 2004, the Company entered into a new agreement with Destineer Publishing Corp. (“Destineer”), a publisher of PC games, under which Destineer granted the Company the rights to distribute two titles and publish and distribute two further titles. The previous agreement dated April 2003 was terminated. The Company agreed to make recoupable advances to Destineer of approximately $3,149, in addition to the advances already made of $5,604. Under the new agreement, advances made by the Company are recouped against future royalties owed to Destineer. Pursuant to the requirements of FIN 46 (R), since Destineer is a variable interest entity and the Company is considered to be the primary beneficiary, the results of Destineer’s operations have been consolidated in the accompanying financial statements effective November 1, 2002. The new agreement did not change the designation of Destineer nor the Company as primary beneficiary.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Transactions</w:t>
      </w:r>
    </w:p>
    <w:p>
      <w:pPr>
        <w:spacing w:after="0" w:line="231"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During the quarter ended July 31, 2003, the Company acquired the assets of Frog City, Inc. (“Frog City”), the developer of Tropico 2: Pirate Cove, and the outstanding membership interests of Cat Daddy Games LLC (“Cat Daddy”), another development studio. The total purchase price for both studios consisted of $757 in cash and $319 of prepaid royalties previously advanced to Frog City. The Company also agreed to make additional payments of up to $2,500 to the former owners of Cat Daddy, based on a percentage of Cat Daddy’s profits for the first three years after acquisition, which will be recorded as compensation expense if the targets are met. In connection with the acquisitions, the Company recorded goodwill of $1,267 and net liabilities of $191.</w:t>
      </w:r>
    </w:p>
    <w:p>
      <w:pPr>
        <w:spacing w:after="0" w:line="17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November 2002, the Company acquired all of the outstanding capital stock of Angel Studios, Inc. (“Angel”), the developer of Midnight Club and Smuggler’s Run. The purchase price consisted of 235,679 shares of restricted common stock (valued at $6,557), $28,512 in cash and $5,931 (net of $801 of royalties payable to Angel) of prepaid royalties previously advanced to Angel. In connection with the acquisition, the Company recorded identifiable intangibles of $4,720 (comprised of intellectual property of $2,810, technology of $1,600 and non-competition agreements of $310), goodwill of $37,425 and net liabilities of $1,145.</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 Transaction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August 2002, the Company acquired all of the outstanding capital stock of Barking Dog Studios Ltd. (“Barking Dog”), a Canadian-based development studio. The purchase price consisted of 242,450 shares of restricted common stock (valued at $3,801), $3,000 in cash, $825 of prepaid royalties previously advanced to Barking Dog and assumed net liabilities of $70. In connection with the acquisition, the Company recorded identifiable intangibles of $1,800, comprised of non-competition agreements of $1,600 and intellectual property of $200, and goodwill of $6,772.</w:t>
      </w:r>
    </w:p>
    <w:p>
      <w:pPr>
        <w:spacing w:after="0" w:line="16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w:t>
        <w:tab/>
        <w:t>PREPAID ROYALTIES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total prepaid royalties: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6"/>
          </w:tcPr>
          <w:p>
            <w:pPr>
              <w:jc w:val="right"/>
              <w:ind w:right="63"/>
              <w:spacing w:after="0"/>
              <w:rPr>
                <w:sz w:val="20"/>
                <w:szCs w:val="20"/>
                <w:color w:val="auto"/>
              </w:rPr>
            </w:pPr>
            <w:r>
              <w:rPr>
                <w:rFonts w:ascii="Arial" w:cs="Arial" w:eastAsia="Arial" w:hAnsi="Arial"/>
                <w:sz w:val="14"/>
                <w:szCs w:val="14"/>
                <w:b w:val="1"/>
                <w:bCs w:val="1"/>
                <w:color w:val="auto"/>
              </w:rPr>
              <w:t>Years Ended October 31,</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ind w:right="236"/>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92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72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November 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20,635</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26,418</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33,149</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Additions</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66,055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30,034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28,555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(39,114)</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(19,065)</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Reclassification</w:t>
            </w:r>
          </w:p>
        </w:tc>
        <w:tc>
          <w:tcPr>
            <w:tcW w:w="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(7,251)</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Write down</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(5,752)</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(9,525)</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Foreign exchange</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129"/>
        </w:trPr>
        <w:tc>
          <w:tcPr>
            <w:tcW w:w="5720" w:type="dxa"/>
            <w:vAlign w:val="bottom"/>
            <w:gridSpan w:val="2"/>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42,202</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20,635</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26,418</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Less current balance</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38,220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12,196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720" w:type="dxa"/>
            <w:vAlign w:val="bottom"/>
            <w:gridSpan w:val="2"/>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October 31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8,439</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12,203</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-14605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-14605</wp:posOffset>
            </wp:positionV>
            <wp:extent cx="215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-14605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-14605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-14605</wp:posOffset>
            </wp:positionV>
            <wp:extent cx="215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-14605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-14605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-14605</wp:posOffset>
            </wp:positionV>
            <wp:extent cx="215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Included in prepaid royalties at October 31, 2004 and 2003, respectively, are $35,124 and $14,241 related to titles that have not been released yet.</w:t>
      </w:r>
    </w:p>
    <w:p>
      <w:pPr>
        <w:spacing w:after="0" w:line="24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reclassification for the year ended October 31, 2003 principally reflects the transfer of prepaid royalties paid to Angel Studios, Inc. and Frog City, Inc. prior to their acquisition by the Company as a component of the purchase price of the acquisitions.</w:t>
      </w:r>
    </w:p>
    <w:p>
      <w:pPr>
        <w:spacing w:after="0" w:line="1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w:t>
        <w:tab/>
        <w:t>INVENTORIES, NET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As of October 31, 2004 and 2003, inventories consist of:</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0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Parts and supplies</w:t>
            </w:r>
          </w:p>
        </w:tc>
        <w:tc>
          <w:tcPr>
            <w:tcW w:w="2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4,793</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Finished products</w:t>
            </w: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147,199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96,955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4040" w:type="dxa"/>
            <w:vAlign w:val="bottom"/>
            <w:gridSpan w:val="2"/>
          </w:tcPr>
          <w:p>
            <w:pPr>
              <w:spacing w:after="0"/>
              <w:rPr>
                <w:sz w:val="11"/>
                <w:szCs w:val="11"/>
                <w:color w:val="auto"/>
              </w:rPr>
            </w:pPr>
          </w:p>
        </w:tc>
        <w:tc>
          <w:tcPr>
            <w:tcW w:w="27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20" w:type="dxa"/>
            <w:vAlign w:val="bottom"/>
            <w:vMerge w:val="restart"/>
          </w:tcPr>
          <w:p>
            <w:pPr>
              <w:spacing w:after="0"/>
              <w:rPr>
                <w:sz w:val="24"/>
                <w:szCs w:val="24"/>
                <w:color w:val="auto"/>
              </w:rPr>
            </w:pPr>
          </w:p>
        </w:tc>
        <w:tc>
          <w:tcPr>
            <w:tcW w:w="40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154,345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101,748</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215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-14605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-14605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-14605</wp:posOffset>
            </wp:positionV>
            <wp:extent cx="215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Estimated product returns included in inventories at October 31, 2004 and 2003 are $7,371 and $8,706, respectively. Allowances to reduce inventory amounts to net realizable value are $7,520 and $3,781 at October 31, 2004 and 2003.</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w:t>
        <w:tab/>
        <w:t>FIXED ASSETS, NET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As of October 31, 2004 and 2003, fixed assets consist of:</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12,963</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Office equipment</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5,096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1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15,480</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11,529</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4,413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10,906</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Capital leases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58,497</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39,190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24,206</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16,930</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5120" w:type="dxa"/>
            <w:vAlign w:val="bottom"/>
            <w:gridSpan w:val="2"/>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5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34,291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22,260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215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-14605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-14605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-14605</wp:posOffset>
            </wp:positionV>
            <wp:extent cx="215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October 31, 2004, 2003, and 2002, amounted to $12,443, $9,510 and $6,457, respectively.</w:t>
      </w:r>
    </w:p>
    <w:p>
      <w:pPr>
        <w:spacing w:after="0" w:line="219"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CAPITALIZED SOFTWARE DEVELOPMENT COSTS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capitalized software development costs: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2350" w:type="dxa"/>
            <w:vAlign w:val="bottom"/>
            <w:gridSpan w:val="7"/>
          </w:tcPr>
          <w:p>
            <w:pPr>
              <w:jc w:val="right"/>
              <w:spacing w:after="0"/>
              <w:rPr>
                <w:sz w:val="20"/>
                <w:szCs w:val="20"/>
                <w:color w:val="auto"/>
              </w:rPr>
            </w:pPr>
            <w:r>
              <w:rPr>
                <w:rFonts w:ascii="Arial" w:cs="Arial" w:eastAsia="Arial" w:hAnsi="Arial"/>
                <w:sz w:val="14"/>
                <w:szCs w:val="14"/>
                <w:b w:val="1"/>
                <w:bCs w:val="1"/>
                <w:color w:val="auto"/>
              </w:rPr>
              <w:t>Years Ended October 31,</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910" w:type="dxa"/>
            <w:vAlign w:val="bottom"/>
          </w:tcPr>
          <w:p>
            <w:pPr>
              <w:jc w:val="right"/>
              <w:ind w:right="237"/>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90" w:type="dxa"/>
            <w:vAlign w:val="bottom"/>
            <w:tcBorders>
              <w:bottom w:val="single" w:sz="8" w:color="808080"/>
            </w:tcBorders>
          </w:tcPr>
          <w:p>
            <w:pPr>
              <w:spacing w:after="0"/>
              <w:rPr>
                <w:sz w:val="8"/>
                <w:szCs w:val="8"/>
                <w:color w:val="auto"/>
              </w:rPr>
            </w:pPr>
          </w:p>
        </w:tc>
        <w:tc>
          <w:tcPr>
            <w:tcW w:w="91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5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90" w:type="dxa"/>
            <w:vAlign w:val="bottom"/>
          </w:tcPr>
          <w:p>
            <w:pPr>
              <w:spacing w:after="0"/>
              <w:rPr>
                <w:sz w:val="10"/>
                <w:szCs w:val="10"/>
                <w:color w:val="auto"/>
              </w:rPr>
            </w:pPr>
          </w:p>
        </w:tc>
        <w:tc>
          <w:tcPr>
            <w:tcW w:w="91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November 1</w:t>
            </w:r>
          </w:p>
        </w:tc>
        <w:tc>
          <w:tcPr>
            <w:tcW w:w="213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1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10,385</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9,739</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Additions</w:t>
            </w:r>
          </w:p>
        </w:tc>
        <w:tc>
          <w:tcPr>
            <w:tcW w:w="204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25,960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15,923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9,645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03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w:t>
            </w:r>
          </w:p>
        </w:tc>
        <w:tc>
          <w:tcPr>
            <w:tcW w:w="2040" w:type="dxa"/>
            <w:vAlign w:val="bottom"/>
            <w:tcBorders>
              <w:bottom w:val="single" w:sz="8" w:color="CCEEFF"/>
            </w:tcBorders>
            <w:shd w:val="clear" w:color="auto" w:fill="CCEEFF"/>
          </w:tcPr>
          <w:p>
            <w:pPr>
              <w:spacing w:after="0"/>
              <w:rPr>
                <w:sz w:val="19"/>
                <w:szCs w:val="19"/>
                <w:color w:val="auto"/>
              </w:rPr>
            </w:pPr>
          </w:p>
        </w:tc>
        <w:tc>
          <w:tcPr>
            <w:tcW w:w="90" w:type="dxa"/>
            <w:vAlign w:val="bottom"/>
            <w:tcBorders>
              <w:bottom w:val="single" w:sz="8" w:color="CCEEFF"/>
            </w:tcBorders>
            <w:shd w:val="clear" w:color="auto" w:fill="CCEEFF"/>
          </w:tcPr>
          <w:p>
            <w:pPr>
              <w:spacing w:after="0"/>
              <w:rPr>
                <w:sz w:val="19"/>
                <w:szCs w:val="19"/>
                <w:color w:val="auto"/>
              </w:rPr>
            </w:pPr>
          </w:p>
        </w:tc>
        <w:tc>
          <w:tcPr>
            <w:tcW w:w="103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(12,902)</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(10,940)</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Reclassification</w:t>
            </w:r>
          </w:p>
        </w:tc>
        <w:tc>
          <w:tcPr>
            <w:tcW w:w="204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03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03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Write down</w:t>
            </w:r>
          </w:p>
        </w:tc>
        <w:tc>
          <w:tcPr>
            <w:tcW w:w="2040" w:type="dxa"/>
            <w:vAlign w:val="bottom"/>
            <w:tcBorders>
              <w:bottom w:val="single" w:sz="8" w:color="CCEEFF"/>
            </w:tcBorders>
            <w:shd w:val="clear" w:color="auto" w:fill="CCEEFF"/>
          </w:tcPr>
          <w:p>
            <w:pPr>
              <w:spacing w:after="0"/>
              <w:rPr>
                <w:sz w:val="19"/>
                <w:szCs w:val="19"/>
                <w:color w:val="auto"/>
              </w:rPr>
            </w:pPr>
          </w:p>
        </w:tc>
        <w:tc>
          <w:tcPr>
            <w:tcW w:w="90" w:type="dxa"/>
            <w:vAlign w:val="bottom"/>
            <w:tcBorders>
              <w:bottom w:val="single" w:sz="8" w:color="CCEEFF"/>
            </w:tcBorders>
            <w:shd w:val="clear" w:color="auto" w:fill="CCEEFF"/>
          </w:tcPr>
          <w:p>
            <w:pPr>
              <w:spacing w:after="0"/>
              <w:rPr>
                <w:sz w:val="19"/>
                <w:szCs w:val="19"/>
                <w:color w:val="auto"/>
              </w:rPr>
            </w:pPr>
          </w:p>
        </w:tc>
        <w:tc>
          <w:tcPr>
            <w:tcW w:w="103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(3,020)</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Foreign exchange</w:t>
            </w:r>
          </w:p>
        </w:tc>
        <w:tc>
          <w:tcPr>
            <w:tcW w:w="204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3580" w:type="dxa"/>
            <w:vAlign w:val="bottom"/>
            <w:gridSpan w:val="2"/>
          </w:tcPr>
          <w:p>
            <w:pPr>
              <w:spacing w:after="0"/>
              <w:rPr>
                <w:sz w:val="11"/>
                <w:szCs w:val="11"/>
                <w:color w:val="auto"/>
              </w:rPr>
            </w:pPr>
          </w:p>
        </w:tc>
        <w:tc>
          <w:tcPr>
            <w:tcW w:w="2040" w:type="dxa"/>
            <w:vAlign w:val="bottom"/>
          </w:tcPr>
          <w:p>
            <w:pPr>
              <w:spacing w:after="0"/>
              <w:rPr>
                <w:sz w:val="11"/>
                <w:szCs w:val="11"/>
                <w:color w:val="auto"/>
              </w:rPr>
            </w:pPr>
          </w:p>
        </w:tc>
        <w:tc>
          <w:tcPr>
            <w:tcW w:w="90" w:type="dxa"/>
            <w:vAlign w:val="bottom"/>
            <w:tcBorders>
              <w:bottom w:val="single" w:sz="8" w:color="808080"/>
            </w:tcBorders>
          </w:tcPr>
          <w:p>
            <w:pPr>
              <w:spacing w:after="0"/>
              <w:rPr>
                <w:sz w:val="11"/>
                <w:szCs w:val="11"/>
                <w:color w:val="auto"/>
              </w:rPr>
            </w:pPr>
          </w:p>
        </w:tc>
        <w:tc>
          <w:tcPr>
            <w:tcW w:w="91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5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90" w:type="dxa"/>
            <w:vAlign w:val="bottom"/>
          </w:tcPr>
          <w:p>
            <w:pPr>
              <w:spacing w:after="0"/>
              <w:rPr>
                <w:sz w:val="10"/>
                <w:szCs w:val="10"/>
                <w:color w:val="auto"/>
              </w:rPr>
            </w:pPr>
          </w:p>
        </w:tc>
        <w:tc>
          <w:tcPr>
            <w:tcW w:w="91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October 31</w:t>
            </w:r>
          </w:p>
        </w:tc>
        <w:tc>
          <w:tcPr>
            <w:tcW w:w="213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1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27,785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16,336</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10,385</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9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4290695</wp:posOffset>
            </wp:positionH>
            <wp:positionV relativeFrom="paragraph">
              <wp:posOffset>-14605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-14605</wp:posOffset>
            </wp:positionV>
            <wp:extent cx="215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-14605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215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-14605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-14605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-14605</wp:posOffset>
            </wp:positionV>
            <wp:extent cx="215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w:t>
        <w:tab/>
        <w:t>GOODWILL AND INTANGIBLE ASSETS, NET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the intangible assets subject to amortization:</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w w:val="90"/>
              </w:rPr>
              <w:t>As of October 31, 2004</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0"/>
              </w:rPr>
              <w:t>As of October 31, 2003</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Range of</w:t>
            </w:r>
          </w:p>
        </w:tc>
        <w:tc>
          <w:tcPr>
            <w:tcW w:w="200" w:type="dxa"/>
            <w:vAlign w:val="bottom"/>
          </w:tcPr>
          <w:p>
            <w:pPr>
              <w:spacing w:after="0"/>
              <w:rPr>
                <w:sz w:val="20"/>
                <w:szCs w:val="20"/>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Useful Life</w:t>
            </w:r>
          </w:p>
        </w:tc>
        <w:tc>
          <w:tcPr>
            <w:tcW w:w="20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(years)</w:t>
            </w:r>
          </w:p>
        </w:tc>
        <w:tc>
          <w:tcPr>
            <w:tcW w:w="20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Amortization</w:t>
            </w:r>
          </w:p>
        </w:tc>
        <w:tc>
          <w:tcPr>
            <w:tcW w:w="120" w:type="dxa"/>
            <w:vAlign w:val="bottom"/>
          </w:tcPr>
          <w:p>
            <w:pPr>
              <w:spacing w:after="0"/>
              <w:rPr>
                <w:sz w:val="15"/>
                <w:szCs w:val="15"/>
                <w:color w:val="auto"/>
              </w:rPr>
            </w:pPr>
          </w:p>
        </w:tc>
        <w:tc>
          <w:tcPr>
            <w:tcW w:w="1120" w:type="dxa"/>
            <w:vAlign w:val="bottom"/>
            <w:gridSpan w:val="2"/>
          </w:tcPr>
          <w:p>
            <w:pPr>
              <w:ind w:left="34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5"/>
                <w:szCs w:val="15"/>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5"/>
                <w:szCs w:val="15"/>
                <w:color w:val="auto"/>
              </w:rPr>
            </w:pPr>
          </w:p>
        </w:tc>
        <w:tc>
          <w:tcPr>
            <w:tcW w:w="1120" w:type="dxa"/>
            <w:vAlign w:val="bottom"/>
            <w:gridSpan w:val="2"/>
          </w:tcPr>
          <w:p>
            <w:pPr>
              <w:ind w:left="3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26,825</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(10,438)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16,387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23,342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15,951</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Customer lists and relationships</w:t>
            </w:r>
          </w:p>
        </w:tc>
        <w:tc>
          <w:tcPr>
            <w:tcW w:w="920" w:type="dxa"/>
            <w:vAlign w:val="bottom"/>
          </w:tcPr>
          <w:p>
            <w:pPr>
              <w:jc w:val="right"/>
              <w:spacing w:after="0"/>
              <w:rPr>
                <w:sz w:val="20"/>
                <w:szCs w:val="20"/>
                <w:color w:val="auto"/>
              </w:rPr>
            </w:pPr>
            <w:r>
              <w:rPr>
                <w:rFonts w:ascii="Arial" w:cs="Arial" w:eastAsia="Arial" w:hAnsi="Arial"/>
                <w:sz w:val="18"/>
                <w:szCs w:val="18"/>
                <w:color w:val="auto"/>
              </w:rPr>
              <w:t>5-10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4,673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(3,007)</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4,673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39,783</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(27,151)</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12,632</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31,823</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(8,737)</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23,086</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7,888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(3,002)</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4,886</w:t>
            </w: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4,790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4,192</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(3,659)</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4,192</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920" w:type="dxa"/>
            <w:vAlign w:val="bottom"/>
            <w:gridSpan w:val="2"/>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2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83,361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(47,257)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36,104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68,820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(23,984)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44,836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-14605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-14605</wp:posOffset>
            </wp:positionV>
            <wp:extent cx="215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-14605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-14605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-14605</wp:posOffset>
            </wp:positionV>
            <wp:extent cx="215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-14605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-14605</wp:posOffset>
            </wp:positionV>
            <wp:extent cx="215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-14605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-14605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-14605</wp:posOffset>
            </wp:positionV>
            <wp:extent cx="215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-14605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-14605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-14605</wp:posOffset>
            </wp:positionV>
            <wp:extent cx="215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-14605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-14605</wp:posOffset>
            </wp:positionV>
            <wp:extent cx="215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change in intangibles for the years ended October 31, 2004 and 2003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91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 w:type="dxa"/>
            <w:vAlign w:val="bottom"/>
          </w:tcPr>
          <w:p>
            <w:pPr>
              <w:spacing w:after="0"/>
              <w:rPr>
                <w:sz w:val="8"/>
                <w:szCs w:val="8"/>
                <w:color w:val="auto"/>
              </w:rPr>
            </w:pPr>
          </w:p>
        </w:tc>
        <w:tc>
          <w:tcPr>
            <w:tcW w:w="91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160" w:type="dxa"/>
            <w:vAlign w:val="bottom"/>
            <w:vMerge w:val="restart"/>
          </w:tcPr>
          <w:p>
            <w:pPr>
              <w:spacing w:after="0"/>
              <w:rPr>
                <w:sz w:val="10"/>
                <w:szCs w:val="10"/>
                <w:color w:val="auto"/>
              </w:rPr>
            </w:pPr>
          </w:p>
        </w:tc>
        <w:tc>
          <w:tcPr>
            <w:tcW w:w="17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 w:type="dxa"/>
            <w:vAlign w:val="bottom"/>
          </w:tcPr>
          <w:p>
            <w:pPr>
              <w:spacing w:after="0"/>
              <w:rPr>
                <w:sz w:val="10"/>
                <w:szCs w:val="10"/>
                <w:color w:val="auto"/>
              </w:rPr>
            </w:pPr>
          </w:p>
        </w:tc>
        <w:tc>
          <w:tcPr>
            <w:tcW w:w="91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November 1</w:t>
            </w:r>
          </w:p>
        </w:tc>
        <w:tc>
          <w:tcPr>
            <w:tcW w:w="220" w:type="dxa"/>
            <w:vAlign w:val="bottom"/>
            <w:tcBorders>
              <w:bottom w:val="single" w:sz="8" w:color="CCEEFF"/>
            </w:tcBorders>
            <w:shd w:val="clear" w:color="auto" w:fill="CCEEFF"/>
          </w:tcPr>
          <w:p>
            <w:pPr>
              <w:spacing w:after="0"/>
              <w:rPr>
                <w:sz w:val="19"/>
                <w:szCs w:val="19"/>
                <w:color w:val="auto"/>
              </w:rPr>
            </w:pPr>
          </w:p>
        </w:tc>
        <w:tc>
          <w:tcPr>
            <w:tcW w:w="90" w:type="dxa"/>
            <w:vAlign w:val="bottom"/>
            <w:tcBorders>
              <w:bottom w:val="single" w:sz="8" w:color="CCEEFF"/>
            </w:tcBorders>
            <w:shd w:val="clear" w:color="auto" w:fill="CCEEFF"/>
          </w:tcPr>
          <w:p>
            <w:pPr>
              <w:spacing w:after="0"/>
              <w:rPr>
                <w:sz w:val="19"/>
                <w:szCs w:val="19"/>
                <w:color w:val="auto"/>
              </w:rPr>
            </w:pPr>
          </w:p>
        </w:tc>
        <w:tc>
          <w:tcPr>
            <w:tcW w:w="91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68,820</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67,714</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1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14,364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vMerge w:val="restart"/>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91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purchases of intangibles</w:t>
            </w:r>
          </w:p>
        </w:tc>
        <w:tc>
          <w:tcPr>
            <w:tcW w:w="220" w:type="dxa"/>
            <w:vAlign w:val="bottom"/>
            <w:tcBorders>
              <w:bottom w:val="single" w:sz="8" w:color="CCEEFF"/>
            </w:tcBorders>
            <w:shd w:val="clear" w:color="auto" w:fill="CCEEFF"/>
          </w:tcPr>
          <w:p>
            <w:pPr>
              <w:spacing w:after="0"/>
              <w:rPr>
                <w:sz w:val="19"/>
                <w:szCs w:val="19"/>
                <w:color w:val="auto"/>
              </w:rPr>
            </w:pPr>
          </w:p>
        </w:tc>
        <w:tc>
          <w:tcPr>
            <w:tcW w:w="90" w:type="dxa"/>
            <w:vAlign w:val="bottom"/>
            <w:tcBorders>
              <w:bottom w:val="single" w:sz="8" w:color="CCEEFF"/>
            </w:tcBorders>
            <w:shd w:val="clear" w:color="auto" w:fill="CCEEFF"/>
          </w:tcPr>
          <w:p>
            <w:pPr>
              <w:spacing w:after="0"/>
              <w:rPr>
                <w:sz w:val="19"/>
                <w:szCs w:val="19"/>
                <w:color w:val="auto"/>
              </w:rPr>
            </w:pPr>
          </w:p>
        </w:tc>
        <w:tc>
          <w:tcPr>
            <w:tcW w:w="91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8,685</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Impairment charges</w:t>
            </w:r>
          </w:p>
        </w:tc>
        <w:tc>
          <w:tcPr>
            <w:tcW w:w="2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1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(717)</w:t>
            </w:r>
          </w:p>
        </w:tc>
        <w:tc>
          <w:tcPr>
            <w:tcW w:w="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(12,299)</w:t>
            </w:r>
          </w:p>
        </w:tc>
        <w:tc>
          <w:tcPr>
            <w:tcW w:w="0" w:type="dxa"/>
            <w:vAlign w:val="bottom"/>
          </w:tcPr>
          <w:p>
            <w:pPr>
              <w:spacing w:after="0"/>
              <w:rPr>
                <w:sz w:val="1"/>
                <w:szCs w:val="1"/>
                <w:color w:val="auto"/>
              </w:rPr>
            </w:pPr>
          </w:p>
        </w:tc>
      </w:tr>
      <w:tr>
        <w:trPr>
          <w:trHeight w:val="129"/>
        </w:trPr>
        <w:tc>
          <w:tcPr>
            <w:tcW w:w="2880" w:type="dxa"/>
            <w:vAlign w:val="bottom"/>
            <w:gridSpan w:val="2"/>
          </w:tcPr>
          <w:p>
            <w:pPr>
              <w:spacing w:after="0"/>
              <w:rPr>
                <w:sz w:val="11"/>
                <w:szCs w:val="11"/>
                <w:color w:val="auto"/>
              </w:rPr>
            </w:pPr>
          </w:p>
        </w:tc>
        <w:tc>
          <w:tcPr>
            <w:tcW w:w="3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91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60" w:type="dxa"/>
            <w:vAlign w:val="bottom"/>
            <w:vMerge w:val="restart"/>
          </w:tcPr>
          <w:p>
            <w:pPr>
              <w:spacing w:after="0"/>
              <w:rPr>
                <w:sz w:val="10"/>
                <w:szCs w:val="10"/>
                <w:color w:val="auto"/>
              </w:rPr>
            </w:pPr>
          </w:p>
        </w:tc>
        <w:tc>
          <w:tcPr>
            <w:tcW w:w="17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 w:type="dxa"/>
            <w:vAlign w:val="bottom"/>
          </w:tcPr>
          <w:p>
            <w:pPr>
              <w:spacing w:after="0"/>
              <w:rPr>
                <w:sz w:val="10"/>
                <w:szCs w:val="10"/>
                <w:color w:val="auto"/>
              </w:rPr>
            </w:pPr>
          </w:p>
        </w:tc>
        <w:tc>
          <w:tcPr>
            <w:tcW w:w="91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October 31</w:t>
            </w:r>
          </w:p>
        </w:tc>
        <w:tc>
          <w:tcPr>
            <w:tcW w:w="220" w:type="dxa"/>
            <w:vAlign w:val="bottom"/>
            <w:tcBorders>
              <w:bottom w:val="single" w:sz="8" w:color="CCEEFF"/>
            </w:tcBorders>
            <w:shd w:val="clear" w:color="auto" w:fill="CCEEFF"/>
          </w:tcPr>
          <w:p>
            <w:pPr>
              <w:spacing w:after="0"/>
              <w:rPr>
                <w:sz w:val="19"/>
                <w:szCs w:val="19"/>
                <w:color w:val="auto"/>
              </w:rPr>
            </w:pPr>
          </w:p>
        </w:tc>
        <w:tc>
          <w:tcPr>
            <w:tcW w:w="90" w:type="dxa"/>
            <w:vAlign w:val="bottom"/>
            <w:tcBorders>
              <w:bottom w:val="single" w:sz="8" w:color="CCEEFF"/>
            </w:tcBorders>
            <w:shd w:val="clear" w:color="auto" w:fill="CCEEFF"/>
          </w:tcPr>
          <w:p>
            <w:pPr>
              <w:spacing w:after="0"/>
              <w:rPr>
                <w:sz w:val="19"/>
                <w:szCs w:val="19"/>
                <w:color w:val="auto"/>
              </w:rPr>
            </w:pPr>
          </w:p>
        </w:tc>
        <w:tc>
          <w:tcPr>
            <w:tcW w:w="91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83,361</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68,820</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6540" w:type="dxa"/>
            <w:vAlign w:val="bottom"/>
            <w:gridSpan w:val="3"/>
            <w:vMerge w:val="restart"/>
          </w:tcPr>
          <w:p>
            <w:pPr>
              <w:spacing w:after="0"/>
              <w:rPr>
                <w:sz w:val="20"/>
                <w:szCs w:val="20"/>
                <w:color w:val="auto"/>
              </w:rPr>
            </w:pPr>
            <w:r>
              <w:rPr>
                <w:rFonts w:ascii="Arial" w:cs="Arial" w:eastAsia="Arial" w:hAnsi="Arial"/>
                <w:sz w:val="18"/>
                <w:szCs w:val="18"/>
                <w:color w:val="auto"/>
                <w:w w:val="91"/>
              </w:rPr>
              <w:t>Amortization expense for the years ended October 31, 2004, 2003 and 2002 is as follows:</w:t>
            </w:r>
          </w:p>
        </w:tc>
        <w:tc>
          <w:tcPr>
            <w:tcW w:w="220" w:type="dxa"/>
            <w:vAlign w:val="bottom"/>
          </w:tcPr>
          <w:p>
            <w:pPr>
              <w:spacing w:after="0"/>
              <w:rPr>
                <w:sz w:val="10"/>
                <w:szCs w:val="10"/>
                <w:color w:val="auto"/>
              </w:rPr>
            </w:pPr>
          </w:p>
        </w:tc>
        <w:tc>
          <w:tcPr>
            <w:tcW w:w="90" w:type="dxa"/>
            <w:vAlign w:val="bottom"/>
          </w:tcPr>
          <w:p>
            <w:pPr>
              <w:spacing w:after="0"/>
              <w:rPr>
                <w:sz w:val="10"/>
                <w:szCs w:val="10"/>
                <w:color w:val="auto"/>
              </w:rPr>
            </w:pPr>
          </w:p>
        </w:tc>
        <w:tc>
          <w:tcPr>
            <w:tcW w:w="91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654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1440" w:type="dxa"/>
            <w:vAlign w:val="bottom"/>
            <w:gridSpan w:val="8"/>
          </w:tcPr>
          <w:p>
            <w:pPr>
              <w:jc w:val="right"/>
              <w:spacing w:after="0"/>
              <w:rPr>
                <w:sz w:val="20"/>
                <w:szCs w:val="20"/>
                <w:color w:val="auto"/>
              </w:rPr>
            </w:pPr>
            <w:r>
              <w:rPr>
                <w:rFonts w:ascii="Arial" w:cs="Arial" w:eastAsia="Arial" w:hAnsi="Arial"/>
                <w:sz w:val="14"/>
                <w:szCs w:val="14"/>
                <w:b w:val="1"/>
                <w:bCs w:val="1"/>
                <w:color w:val="auto"/>
                <w:w w:val="85"/>
              </w:rPr>
              <w:t>Years Ended October 31,</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910" w:type="dxa"/>
            <w:vAlign w:val="bottom"/>
          </w:tcPr>
          <w:p>
            <w:pPr>
              <w:jc w:val="right"/>
              <w:ind w:right="237"/>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6540" w:type="dxa"/>
            <w:vAlign w:val="bottom"/>
            <w:gridSpan w:val="3"/>
            <w:vMerge w:val="restart"/>
          </w:tcPr>
          <w:p>
            <w:pPr>
              <w:ind w:left="1140"/>
              <w:spacing w:after="0"/>
              <w:rPr>
                <w:sz w:val="20"/>
                <w:szCs w:val="20"/>
                <w:color w:val="auto"/>
              </w:rPr>
            </w:pPr>
            <w:r>
              <w:rPr>
                <w:rFonts w:ascii="Arial" w:cs="Arial" w:eastAsia="Arial" w:hAnsi="Arial"/>
                <w:sz w:val="18"/>
                <w:szCs w:val="18"/>
                <w:color w:val="auto"/>
              </w:rPr>
              <w:t>Included in:</w:t>
            </w:r>
          </w:p>
        </w:tc>
        <w:tc>
          <w:tcPr>
            <w:tcW w:w="220" w:type="dxa"/>
            <w:vAlign w:val="bottom"/>
          </w:tcPr>
          <w:p>
            <w:pPr>
              <w:spacing w:after="0"/>
              <w:rPr>
                <w:sz w:val="16"/>
                <w:szCs w:val="16"/>
                <w:color w:val="auto"/>
              </w:rPr>
            </w:pPr>
          </w:p>
        </w:tc>
        <w:tc>
          <w:tcPr>
            <w:tcW w:w="90" w:type="dxa"/>
            <w:vAlign w:val="bottom"/>
            <w:tcBorders>
              <w:bottom w:val="single" w:sz="8" w:color="808080"/>
            </w:tcBorders>
          </w:tcPr>
          <w:p>
            <w:pPr>
              <w:spacing w:after="0"/>
              <w:rPr>
                <w:sz w:val="16"/>
                <w:szCs w:val="16"/>
                <w:color w:val="auto"/>
              </w:rPr>
            </w:pPr>
          </w:p>
        </w:tc>
        <w:tc>
          <w:tcPr>
            <w:tcW w:w="910" w:type="dxa"/>
            <w:vAlign w:val="bottom"/>
            <w:tcBorders>
              <w:bottom w:val="single" w:sz="8" w:color="808080"/>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654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 w:type="dxa"/>
            <w:vAlign w:val="bottom"/>
          </w:tcPr>
          <w:p>
            <w:pPr>
              <w:spacing w:after="0"/>
              <w:rPr>
                <w:sz w:val="2"/>
                <w:szCs w:val="2"/>
                <w:color w:val="auto"/>
              </w:rPr>
            </w:pPr>
          </w:p>
        </w:tc>
        <w:tc>
          <w:tcPr>
            <w:tcW w:w="91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53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Cost of sales – product costs</w:t>
            </w:r>
          </w:p>
        </w:tc>
        <w:tc>
          <w:tcPr>
            <w:tcW w:w="31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1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18,870</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4,403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8,660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5,834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 w:type="dxa"/>
            <w:vAlign w:val="bottom"/>
            <w:tcBorders>
              <w:bottom w:val="single" w:sz="8" w:color="808080"/>
            </w:tcBorders>
          </w:tcPr>
          <w:p>
            <w:pPr>
              <w:spacing w:after="0"/>
              <w:rPr>
                <w:sz w:val="11"/>
                <w:szCs w:val="11"/>
                <w:color w:val="auto"/>
              </w:rPr>
            </w:pPr>
          </w:p>
        </w:tc>
        <w:tc>
          <w:tcPr>
            <w:tcW w:w="91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 w:type="dxa"/>
            <w:vAlign w:val="bottom"/>
          </w:tcPr>
          <w:p>
            <w:pPr>
              <w:spacing w:after="0"/>
              <w:rPr>
                <w:sz w:val="10"/>
                <w:szCs w:val="10"/>
                <w:color w:val="auto"/>
              </w:rPr>
            </w:pPr>
          </w:p>
        </w:tc>
        <w:tc>
          <w:tcPr>
            <w:tcW w:w="91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gridSpan w:val="2"/>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3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amortization expense</w:t>
            </w:r>
          </w:p>
        </w:tc>
        <w:tc>
          <w:tcPr>
            <w:tcW w:w="31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1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23,273</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9,893</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6540" w:type="dxa"/>
            <w:vAlign w:val="bottom"/>
            <w:gridSpan w:val="3"/>
            <w:vMerge w:val="restart"/>
          </w:tcPr>
          <w:p>
            <w:pPr>
              <w:spacing w:after="0"/>
              <w:rPr>
                <w:sz w:val="20"/>
                <w:szCs w:val="20"/>
                <w:color w:val="auto"/>
              </w:rPr>
            </w:pPr>
            <w:r>
              <w:rPr>
                <w:rFonts w:ascii="Arial" w:cs="Arial" w:eastAsia="Arial" w:hAnsi="Arial"/>
                <w:sz w:val="18"/>
                <w:szCs w:val="18"/>
                <w:color w:val="auto"/>
              </w:rPr>
              <w:t>Estimated amortization expense for the years ending October 31, is as follows:</w:t>
            </w:r>
          </w:p>
        </w:tc>
        <w:tc>
          <w:tcPr>
            <w:tcW w:w="220" w:type="dxa"/>
            <w:vAlign w:val="bottom"/>
          </w:tcPr>
          <w:p>
            <w:pPr>
              <w:spacing w:after="0"/>
              <w:rPr>
                <w:sz w:val="10"/>
                <w:szCs w:val="10"/>
                <w:color w:val="auto"/>
              </w:rPr>
            </w:pPr>
          </w:p>
        </w:tc>
        <w:tc>
          <w:tcPr>
            <w:tcW w:w="9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654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880" w:type="dxa"/>
            <w:vAlign w:val="bottom"/>
            <w:gridSpan w:val="2"/>
            <w:vMerge w:val="restart"/>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91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gridSpan w:val="2"/>
            <w:vMerge w:val="continue"/>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2005</w:t>
            </w:r>
          </w:p>
        </w:tc>
        <w:tc>
          <w:tcPr>
            <w:tcW w:w="220" w:type="dxa"/>
            <w:vAlign w:val="bottom"/>
            <w:tcBorders>
              <w:bottom w:val="single" w:sz="8" w:color="CCEEFF"/>
            </w:tcBorders>
            <w:shd w:val="clear" w:color="auto" w:fill="CCEEFF"/>
          </w:tcPr>
          <w:p>
            <w:pPr>
              <w:spacing w:after="0"/>
              <w:rPr>
                <w:sz w:val="19"/>
                <w:szCs w:val="19"/>
                <w:color w:val="auto"/>
              </w:rPr>
            </w:pPr>
          </w:p>
        </w:tc>
        <w:tc>
          <w:tcPr>
            <w:tcW w:w="90" w:type="dxa"/>
            <w:vAlign w:val="bottom"/>
            <w:tcBorders>
              <w:bottom w:val="single" w:sz="8" w:color="CCEEFF"/>
            </w:tcBorders>
            <w:shd w:val="clear" w:color="auto" w:fill="CCEEFF"/>
          </w:tcPr>
          <w:p>
            <w:pPr>
              <w:spacing w:after="0"/>
              <w:rPr>
                <w:sz w:val="19"/>
                <w:szCs w:val="19"/>
                <w:color w:val="auto"/>
              </w:rPr>
            </w:pPr>
          </w:p>
        </w:tc>
        <w:tc>
          <w:tcPr>
            <w:tcW w:w="91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6"/>
              </w:rPr>
              <w:t>$ 11,374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80" w:type="dxa"/>
            <w:vAlign w:val="bottom"/>
            <w:gridSpan w:val="2"/>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1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10,371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80" w:type="dxa"/>
            <w:vAlign w:val="bottom"/>
            <w:gridSpan w:val="2"/>
            <w:vMerge w:val="restart"/>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91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80" w:type="dxa"/>
            <w:vAlign w:val="bottom"/>
            <w:gridSpan w:val="2"/>
            <w:vMerge w:val="continue"/>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2007</w:t>
            </w:r>
          </w:p>
        </w:tc>
        <w:tc>
          <w:tcPr>
            <w:tcW w:w="220" w:type="dxa"/>
            <w:vAlign w:val="bottom"/>
            <w:tcBorders>
              <w:bottom w:val="single" w:sz="8" w:color="CCEEFF"/>
            </w:tcBorders>
            <w:shd w:val="clear" w:color="auto" w:fill="CCEEFF"/>
          </w:tcPr>
          <w:p>
            <w:pPr>
              <w:spacing w:after="0"/>
              <w:rPr>
                <w:sz w:val="19"/>
                <w:szCs w:val="19"/>
                <w:color w:val="auto"/>
              </w:rPr>
            </w:pPr>
          </w:p>
        </w:tc>
        <w:tc>
          <w:tcPr>
            <w:tcW w:w="90" w:type="dxa"/>
            <w:vAlign w:val="bottom"/>
            <w:tcBorders>
              <w:bottom w:val="single" w:sz="8" w:color="CCEEFF"/>
            </w:tcBorders>
            <w:shd w:val="clear" w:color="auto" w:fill="CCEEFF"/>
          </w:tcPr>
          <w:p>
            <w:pPr>
              <w:spacing w:after="0"/>
              <w:rPr>
                <w:sz w:val="19"/>
                <w:szCs w:val="19"/>
                <w:color w:val="auto"/>
              </w:rPr>
            </w:pPr>
          </w:p>
        </w:tc>
        <w:tc>
          <w:tcPr>
            <w:tcW w:w="91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5,872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80" w:type="dxa"/>
            <w:vAlign w:val="bottom"/>
            <w:gridSpan w:val="2"/>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1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4,464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80" w:type="dxa"/>
            <w:vAlign w:val="bottom"/>
            <w:gridSpan w:val="2"/>
            <w:vMerge w:val="restart"/>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91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80" w:type="dxa"/>
            <w:vAlign w:val="bottom"/>
            <w:gridSpan w:val="2"/>
            <w:vMerge w:val="continue"/>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2009</w:t>
            </w:r>
          </w:p>
        </w:tc>
        <w:tc>
          <w:tcPr>
            <w:tcW w:w="220" w:type="dxa"/>
            <w:vAlign w:val="bottom"/>
            <w:tcBorders>
              <w:bottom w:val="single" w:sz="8" w:color="CCEEFF"/>
            </w:tcBorders>
            <w:shd w:val="clear" w:color="auto" w:fill="CCEEFF"/>
          </w:tcPr>
          <w:p>
            <w:pPr>
              <w:spacing w:after="0"/>
              <w:rPr>
                <w:sz w:val="19"/>
                <w:szCs w:val="19"/>
                <w:color w:val="auto"/>
              </w:rPr>
            </w:pPr>
          </w:p>
        </w:tc>
        <w:tc>
          <w:tcPr>
            <w:tcW w:w="90" w:type="dxa"/>
            <w:vAlign w:val="bottom"/>
            <w:tcBorders>
              <w:bottom w:val="single" w:sz="8" w:color="CCEEFF"/>
            </w:tcBorders>
            <w:shd w:val="clear" w:color="auto" w:fill="CCEEFF"/>
          </w:tcPr>
          <w:p>
            <w:pPr>
              <w:spacing w:after="0"/>
              <w:rPr>
                <w:sz w:val="19"/>
                <w:szCs w:val="19"/>
                <w:color w:val="auto"/>
              </w:rPr>
            </w:pPr>
          </w:p>
        </w:tc>
        <w:tc>
          <w:tcPr>
            <w:tcW w:w="91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2,846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538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90" w:type="dxa"/>
            <w:vAlign w:val="bottom"/>
          </w:tcPr>
          <w:p>
            <w:pPr>
              <w:spacing w:after="0"/>
              <w:rPr>
                <w:sz w:val="9"/>
                <w:szCs w:val="9"/>
                <w:color w:val="auto"/>
              </w:rPr>
            </w:pPr>
          </w:p>
        </w:tc>
        <w:tc>
          <w:tcPr>
            <w:tcW w:w="91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bottom w:val="single" w:sz="8" w:color="808080"/>
            </w:tcBorders>
            <w:gridSpan w:val="3"/>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1160" w:type="dxa"/>
            <w:vAlign w:val="bottom"/>
          </w:tcPr>
          <w:p>
            <w:pPr>
              <w:spacing w:after="0"/>
              <w:rPr>
                <w:sz w:val="24"/>
                <w:szCs w:val="24"/>
                <w:color w:val="auto"/>
              </w:rPr>
            </w:pPr>
          </w:p>
        </w:tc>
        <w:tc>
          <w:tcPr>
            <w:tcW w:w="5380" w:type="dxa"/>
            <w:vAlign w:val="bottom"/>
            <w:gridSpan w:val="2"/>
          </w:tcPr>
          <w:p>
            <w:pPr>
              <w:ind w:left="170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w w:val="96"/>
              </w:rPr>
              <w:t>$ 34,927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6540" w:type="dxa"/>
            <w:vAlign w:val="bottom"/>
            <w:gridSpan w:val="3"/>
            <w:vMerge w:val="restart"/>
          </w:tcPr>
          <w:p>
            <w:pPr>
              <w:spacing w:after="0"/>
              <w:rPr>
                <w:sz w:val="20"/>
                <w:szCs w:val="20"/>
                <w:color w:val="auto"/>
              </w:rPr>
            </w:pPr>
            <w:r>
              <w:rPr>
                <w:rFonts w:ascii="Arial" w:cs="Arial" w:eastAsia="Arial" w:hAnsi="Arial"/>
                <w:sz w:val="18"/>
                <w:szCs w:val="18"/>
                <w:color w:val="auto"/>
                <w:w w:val="96"/>
              </w:rPr>
              <w:t>The change in goodwill for the years ended October 31, 2004 and 2003 is as follows:</w:t>
            </w:r>
          </w:p>
        </w:tc>
        <w:tc>
          <w:tcPr>
            <w:tcW w:w="2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91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5"/>
        </w:trPr>
        <w:tc>
          <w:tcPr>
            <w:tcW w:w="654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6540" w:type="dxa"/>
            <w:vAlign w:val="bottom"/>
            <w:gridSpan w:val="3"/>
          </w:tcPr>
          <w:p>
            <w:pPr>
              <w:spacing w:after="0"/>
              <w:rPr>
                <w:sz w:val="8"/>
                <w:szCs w:val="8"/>
                <w:color w:val="auto"/>
              </w:rPr>
            </w:pPr>
          </w:p>
        </w:tc>
        <w:tc>
          <w:tcPr>
            <w:tcW w:w="220" w:type="dxa"/>
            <w:vAlign w:val="bottom"/>
          </w:tcPr>
          <w:p>
            <w:pPr>
              <w:spacing w:after="0"/>
              <w:rPr>
                <w:sz w:val="8"/>
                <w:szCs w:val="8"/>
                <w:color w:val="auto"/>
              </w:rPr>
            </w:pPr>
          </w:p>
        </w:tc>
        <w:tc>
          <w:tcPr>
            <w:tcW w:w="90" w:type="dxa"/>
            <w:vAlign w:val="bottom"/>
          </w:tcPr>
          <w:p>
            <w:pPr>
              <w:spacing w:after="0"/>
              <w:rPr>
                <w:sz w:val="8"/>
                <w:szCs w:val="8"/>
                <w:color w:val="auto"/>
              </w:rPr>
            </w:pPr>
          </w:p>
        </w:tc>
        <w:tc>
          <w:tcPr>
            <w:tcW w:w="91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gridSpan w:val="3"/>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160" w:type="dxa"/>
            <w:vAlign w:val="bottom"/>
            <w:vMerge w:val="restart"/>
          </w:tcPr>
          <w:p>
            <w:pPr>
              <w:spacing w:after="0"/>
              <w:rPr>
                <w:sz w:val="10"/>
                <w:szCs w:val="10"/>
                <w:color w:val="auto"/>
              </w:rPr>
            </w:pPr>
          </w:p>
        </w:tc>
        <w:tc>
          <w:tcPr>
            <w:tcW w:w="538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90" w:type="dxa"/>
            <w:vAlign w:val="bottom"/>
          </w:tcPr>
          <w:p>
            <w:pPr>
              <w:spacing w:after="0"/>
              <w:rPr>
                <w:sz w:val="10"/>
                <w:szCs w:val="10"/>
                <w:color w:val="auto"/>
              </w:rPr>
            </w:pPr>
          </w:p>
        </w:tc>
        <w:tc>
          <w:tcPr>
            <w:tcW w:w="910" w:type="dxa"/>
            <w:vAlign w:val="bottom"/>
          </w:tcPr>
          <w:p>
            <w:pPr>
              <w:spacing w:after="0"/>
              <w:rPr>
                <w:sz w:val="10"/>
                <w:szCs w:val="10"/>
                <w:color w:val="auto"/>
              </w:rPr>
            </w:pPr>
          </w:p>
        </w:tc>
        <w:tc>
          <w:tcPr>
            <w:tcW w:w="280" w:type="dxa"/>
            <w:vAlign w:val="bottom"/>
            <w:gridSpan w:val="3"/>
          </w:tcPr>
          <w:p>
            <w:pPr>
              <w:spacing w:after="0"/>
              <w:rPr>
                <w:sz w:val="10"/>
                <w:szCs w:val="10"/>
                <w:color w:val="auto"/>
              </w:rPr>
            </w:pPr>
          </w:p>
        </w:tc>
        <w:tc>
          <w:tcPr>
            <w:tcW w:w="900" w:type="dxa"/>
            <w:vAlign w:val="bottom"/>
            <w:gridSpan w:val="3"/>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November 1</w:t>
            </w:r>
          </w:p>
        </w:tc>
        <w:tc>
          <w:tcPr>
            <w:tcW w:w="220" w:type="dxa"/>
            <w:vAlign w:val="bottom"/>
            <w:tcBorders>
              <w:bottom w:val="single" w:sz="8" w:color="CCEEFF"/>
            </w:tcBorders>
            <w:shd w:val="clear" w:color="auto" w:fill="CCEEFF"/>
          </w:tcPr>
          <w:p>
            <w:pPr>
              <w:spacing w:after="0"/>
              <w:rPr>
                <w:sz w:val="19"/>
                <w:szCs w:val="19"/>
                <w:color w:val="auto"/>
              </w:rPr>
            </w:pPr>
          </w:p>
        </w:tc>
        <w:tc>
          <w:tcPr>
            <w:tcW w:w="90" w:type="dxa"/>
            <w:vAlign w:val="bottom"/>
            <w:tcBorders>
              <w:bottom w:val="single" w:sz="8" w:color="CCEEFF"/>
            </w:tcBorders>
            <w:shd w:val="clear" w:color="auto" w:fill="CCEEFF"/>
          </w:tcPr>
          <w:p>
            <w:pPr>
              <w:spacing w:after="0"/>
              <w:rPr>
                <w:sz w:val="19"/>
                <w:szCs w:val="19"/>
                <w:color w:val="auto"/>
              </w:rPr>
            </w:pPr>
          </w:p>
        </w:tc>
        <w:tc>
          <w:tcPr>
            <w:tcW w:w="91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101,498</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61,529</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1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Angel</w:t>
            </w:r>
          </w:p>
        </w:tc>
        <w:tc>
          <w:tcPr>
            <w:tcW w:w="22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91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37,425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5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 w:type="dxa"/>
            <w:vAlign w:val="bottom"/>
          </w:tcPr>
          <w:p>
            <w:pPr>
              <w:spacing w:after="0"/>
              <w:rPr>
                <w:sz w:val="2"/>
                <w:szCs w:val="2"/>
                <w:color w:val="auto"/>
              </w:rPr>
            </w:pPr>
          </w:p>
        </w:tc>
        <w:tc>
          <w:tcPr>
            <w:tcW w:w="91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5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TDK</w:t>
            </w:r>
          </w:p>
        </w:tc>
        <w:tc>
          <w:tcPr>
            <w:tcW w:w="220" w:type="dxa"/>
            <w:vAlign w:val="bottom"/>
            <w:tcBorders>
              <w:bottom w:val="single" w:sz="8" w:color="CCEEFF"/>
            </w:tcBorders>
            <w:shd w:val="clear" w:color="auto" w:fill="CCEEFF"/>
          </w:tcPr>
          <w:p>
            <w:pPr>
              <w:spacing w:after="0"/>
              <w:rPr>
                <w:sz w:val="19"/>
                <w:szCs w:val="19"/>
                <w:color w:val="auto"/>
              </w:rPr>
            </w:pPr>
          </w:p>
        </w:tc>
        <w:tc>
          <w:tcPr>
            <w:tcW w:w="90" w:type="dxa"/>
            <w:vAlign w:val="bottom"/>
            <w:tcBorders>
              <w:bottom w:val="single" w:sz="8" w:color="CCEEFF"/>
            </w:tcBorders>
            <w:shd w:val="clear" w:color="auto" w:fill="CCEEFF"/>
          </w:tcPr>
          <w:p>
            <w:pPr>
              <w:spacing w:after="0"/>
              <w:rPr>
                <w:sz w:val="19"/>
                <w:szCs w:val="19"/>
                <w:color w:val="auto"/>
              </w:rPr>
            </w:pPr>
          </w:p>
        </w:tc>
        <w:tc>
          <w:tcPr>
            <w:tcW w:w="91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17,079</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Indie</w:t>
            </w:r>
          </w:p>
        </w:tc>
        <w:tc>
          <w:tcPr>
            <w:tcW w:w="2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1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11,593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91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538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90" w:type="dxa"/>
            <w:vAlign w:val="bottom"/>
            <w:shd w:val="clear" w:color="auto" w:fill="CCEEFF"/>
          </w:tcPr>
          <w:p>
            <w:pPr>
              <w:spacing w:after="0"/>
              <w:rPr>
                <w:sz w:val="19"/>
                <w:szCs w:val="19"/>
                <w:color w:val="auto"/>
              </w:rPr>
            </w:pPr>
          </w:p>
        </w:tc>
        <w:tc>
          <w:tcPr>
            <w:tcW w:w="91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3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1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Adjustments to acquisitions in prior periods</w:t>
            </w:r>
          </w:p>
        </w:tc>
        <w:tc>
          <w:tcPr>
            <w:tcW w:w="2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1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6540" w:type="dxa"/>
            <w:vAlign w:val="bottom"/>
            <w:gridSpan w:val="3"/>
          </w:tcPr>
          <w:p>
            <w:pPr>
              <w:spacing w:after="0"/>
              <w:rPr>
                <w:sz w:val="11"/>
                <w:szCs w:val="11"/>
                <w:color w:val="auto"/>
              </w:rPr>
            </w:pPr>
          </w:p>
        </w:tc>
        <w:tc>
          <w:tcPr>
            <w:tcW w:w="22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91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gridSpan w:val="3"/>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60" w:type="dxa"/>
            <w:vAlign w:val="bottom"/>
            <w:vMerge w:val="restart"/>
          </w:tcPr>
          <w:p>
            <w:pPr>
              <w:spacing w:after="0"/>
              <w:rPr>
                <w:sz w:val="10"/>
                <w:szCs w:val="10"/>
                <w:color w:val="auto"/>
              </w:rPr>
            </w:pPr>
          </w:p>
        </w:tc>
        <w:tc>
          <w:tcPr>
            <w:tcW w:w="538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90" w:type="dxa"/>
            <w:vAlign w:val="bottom"/>
          </w:tcPr>
          <w:p>
            <w:pPr>
              <w:spacing w:after="0"/>
              <w:rPr>
                <w:sz w:val="10"/>
                <w:szCs w:val="10"/>
                <w:color w:val="auto"/>
              </w:rPr>
            </w:pPr>
          </w:p>
        </w:tc>
        <w:tc>
          <w:tcPr>
            <w:tcW w:w="910" w:type="dxa"/>
            <w:vAlign w:val="bottom"/>
          </w:tcPr>
          <w:p>
            <w:pPr>
              <w:spacing w:after="0"/>
              <w:rPr>
                <w:sz w:val="10"/>
                <w:szCs w:val="10"/>
                <w:color w:val="auto"/>
              </w:rPr>
            </w:pPr>
          </w:p>
        </w:tc>
        <w:tc>
          <w:tcPr>
            <w:tcW w:w="280" w:type="dxa"/>
            <w:vAlign w:val="bottom"/>
            <w:gridSpan w:val="3"/>
          </w:tcPr>
          <w:p>
            <w:pPr>
              <w:spacing w:after="0"/>
              <w:rPr>
                <w:sz w:val="10"/>
                <w:szCs w:val="10"/>
                <w:color w:val="auto"/>
              </w:rPr>
            </w:pPr>
          </w:p>
        </w:tc>
        <w:tc>
          <w:tcPr>
            <w:tcW w:w="900" w:type="dxa"/>
            <w:vAlign w:val="bottom"/>
            <w:gridSpan w:val="3"/>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October 31</w:t>
            </w:r>
          </w:p>
        </w:tc>
        <w:tc>
          <w:tcPr>
            <w:tcW w:w="220" w:type="dxa"/>
            <w:vAlign w:val="bottom"/>
            <w:tcBorders>
              <w:bottom w:val="single" w:sz="8" w:color="CCEEFF"/>
            </w:tcBorders>
            <w:shd w:val="clear" w:color="auto" w:fill="CCEEFF"/>
          </w:tcPr>
          <w:p>
            <w:pPr>
              <w:spacing w:after="0"/>
              <w:rPr>
                <w:sz w:val="19"/>
                <w:szCs w:val="19"/>
                <w:color w:val="auto"/>
              </w:rPr>
            </w:pPr>
          </w:p>
        </w:tc>
        <w:tc>
          <w:tcPr>
            <w:tcW w:w="90" w:type="dxa"/>
            <w:vAlign w:val="bottom"/>
            <w:tcBorders>
              <w:bottom w:val="single" w:sz="8" w:color="CCEEFF"/>
            </w:tcBorders>
            <w:shd w:val="clear" w:color="auto" w:fill="CCEEFF"/>
          </w:tcPr>
          <w:p>
            <w:pPr>
              <w:spacing w:after="0"/>
              <w:rPr>
                <w:sz w:val="19"/>
                <w:szCs w:val="19"/>
                <w:color w:val="auto"/>
              </w:rPr>
            </w:pPr>
          </w:p>
        </w:tc>
        <w:tc>
          <w:tcPr>
            <w:tcW w:w="91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135,477</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101,498</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 w:type="dxa"/>
            <w:vAlign w:val="bottom"/>
          </w:tcPr>
          <w:p>
            <w:pPr>
              <w:spacing w:after="0"/>
              <w:rPr>
                <w:sz w:val="10"/>
                <w:szCs w:val="10"/>
                <w:color w:val="auto"/>
              </w:rPr>
            </w:pPr>
          </w:p>
        </w:tc>
        <w:tc>
          <w:tcPr>
            <w:tcW w:w="91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-5786120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-5786120</wp:posOffset>
            </wp:positionV>
            <wp:extent cx="215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-5786120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-5786120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-5786120</wp:posOffset>
            </wp:positionV>
            <wp:extent cx="215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-5786120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-3984625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-3984625</wp:posOffset>
            </wp:positionV>
            <wp:extent cx="215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-3984625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-3984625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-3984625</wp:posOffset>
            </wp:positionV>
            <wp:extent cx="215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-3984625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-3984625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-3984625</wp:posOffset>
            </wp:positionV>
            <wp:extent cx="215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-3984625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-2338070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-2338070</wp:posOffset>
            </wp:positionV>
            <wp:extent cx="215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-2338070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215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-14605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-14605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-14605</wp:posOffset>
            </wp:positionV>
            <wp:extent cx="215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LINES OF CREDIT</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December 1999, the Company entered into a credit agreement, as amended and restated in August 2002, with a group of lenders led by Bank of America, N.A., as agent. The agreement provides for borrowings of up to $40,000 through the expiration of the line of credit on August 28, 2005. Generally, advances under the line of credit are based on a borrowing formula equal to 75% of eligible accounts receivable plus 35% of eligible inventory. Interest accrues on such advances at the bank’s prime rate plus 0.25% to 1.25%, or at LIBOR plus 2.25% to 2.75% depending on the Company’s consolidated leverage ratio (as defined). The Company is required to pay a commitment fee to the bank equal to 0.5% of the unused loan balance. Borrowings under the line of credit are collateralized by the Company’s accounts receivable, inventory, equipment, general intangibles, securities and other personal property, including the capital stock of the Company’s domestic subsidiaries. Available borrowings under the agreement are reduced by the amount of the outstanding standby letter of credit, which is $1,560 at October 31, 2004. The loan agreement contains certain financial and other covenants, including the maintenance of consolidated net worth, consolidated leverage ratio and consolidated fixed charge coverage ratio. As of October 31, 2004, the Company was in compliance with such covenants. The loan agreement limits or prohibits the Company from declaring or paying cash dividends, merging or consolidating with another corporation, selling assets (other than in the ordinary course of business), creating liens and incurring additional indebtedness. The Company had no outstanding borrowings under the revolving line of credit as of October 31, 2004 and 2003.</w:t>
      </w:r>
    </w:p>
    <w:p>
      <w:pPr>
        <w:sectPr>
          <w:pgSz w:w="11900" w:h="16838" w:orient="portrait"/>
          <w:cols w:equalWidth="0" w:num="1">
            <w:col w:w="11400"/>
          </w:cols>
          <w:pgMar w:left="240" w:top="131" w:right="259" w:bottom="0" w:gutter="0" w:footer="0" w:header="0"/>
        </w:sectPr>
      </w:pPr>
    </w:p>
    <w:bookmarkStart w:id="58" w:name="page59"/>
    <w:bookmarkEnd w:id="58"/>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67575"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February 2001, the Company’s United Kingdom subsidiary entered into a credit facility agreement, as amended in March 2002 and April 2004, with Lloyds TSB Bank plc (“Lloyds”) under which Lloyds agreed to make available borrowings of up to approximately $24,000. Advances under the credit facility bear interest at the rate of 1.25% per annum over the bank’s base rate, and are guaranteed by the Company. Available borrowings under the agreement are reduced by the amount of outstanding guarantees. The facility expires on March 31, 2005. The Company had no material guarantees and no outstanding borrowings under this facility as of October 31, 2004 and 2003.</w:t>
      </w:r>
    </w:p>
    <w:p>
      <w:pPr>
        <w:spacing w:after="0" w:line="19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10.</w:t>
        <w:tab/>
        <w:t>ACCRUED EXPENSES AND OTHER CURRENT LIABILITIES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as of October 31, 2004 and 2003 consist of:</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0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gridSpan w:val="2"/>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co-op advertising and product rebates</w:t>
            </w:r>
          </w:p>
        </w:tc>
        <w:tc>
          <w:tcPr>
            <w:tcW w:w="1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Accrued VAT and payroll taxes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16,865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11,593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Royalties payable</w:t>
            </w:r>
          </w:p>
        </w:tc>
        <w:tc>
          <w:tcPr>
            <w:tcW w:w="1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70,113</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16,502</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Deferred revenue</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commissions</w:t>
            </w:r>
          </w:p>
        </w:tc>
        <w:tc>
          <w:tcPr>
            <w:tcW w:w="1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Guarantee payable</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3,594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settlement</w:t>
            </w:r>
          </w:p>
        </w:tc>
        <w:tc>
          <w:tcPr>
            <w:tcW w:w="1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21,285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20,045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040" w:type="dxa"/>
            <w:vAlign w:val="bottom"/>
            <w:gridSpan w:val="2"/>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0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gridSpan w:val="2"/>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128,530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56,883</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215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-14605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-14605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7500" w:firstLine="8"/>
        <w:spacing w:after="0" w:line="504" w:lineRule="auto"/>
        <w:tabs>
          <w:tab w:leader="none" w:pos="473"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 Commitments</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leases 32 office and warehouse facilities. The offices are under non-cancelable operating leases expiring at various times from December 2004 to September 2014. In addition, the Company has leased certain equipment, furniture and auto leases under non-cancelable operating leases, which expire through March 2008. Some of the leases have fixed rent increases and also include inducements to enter into the lease. The effect of such amounts are deferred and recognized on a straight-line basis over the related lease term.</w:t>
      </w:r>
    </w:p>
    <w:p>
      <w:pPr>
        <w:spacing w:after="0" w:line="197" w:lineRule="exact"/>
        <w:rPr>
          <w:sz w:val="20"/>
          <w:szCs w:val="20"/>
          <w:color w:val="auto"/>
        </w:rPr>
      </w:pPr>
    </w:p>
    <w:p>
      <w:pPr>
        <w:ind w:right="400"/>
        <w:spacing w:after="0" w:line="370" w:lineRule="auto"/>
        <w:rPr>
          <w:sz w:val="20"/>
          <w:szCs w:val="20"/>
          <w:color w:val="auto"/>
        </w:rPr>
      </w:pPr>
      <w:r>
        <w:rPr>
          <w:rFonts w:ascii="Arial" w:cs="Arial" w:eastAsia="Arial" w:hAnsi="Arial"/>
          <w:sz w:val="15"/>
          <w:szCs w:val="15"/>
          <w:color w:val="auto"/>
        </w:rPr>
        <w:t>The Company’s principal executive offices are located at 622 Broadway, New York, New York. The Company has recently leased additional space at 622 Broadway to accommodate its expanded operations. In connection with signing a ten-year lease, the Company provided a standby letter of credit of $1,560.</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leases approximately 206,000 square feet of office and warehouse space in Cincinnati, Ohio and pays $1,100 per annum, plus taxes and insurance, under the lease, which expires in May 2006. Effective September 2004, the Company entered into a ten-year lease for 400,000 square feet of new office and warehouse space and will pay approximately $1,000 per annum under the lease, plus taxes and insurance. In addition, the Company will receive funds for leasehold improvements. The Company is entitled to a rent reduction in connection with its former warehouse space and will seek to sublease this space in April 2005. Both the rent reduction and leasehold payments will be amortized over the life of the new lease. The transition to the new facility is planned to be completed by the end of May 2005.</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60" w:type="dxa"/>
            <w:vAlign w:val="bottom"/>
            <w:gridSpan w:val="2"/>
          </w:tcPr>
          <w:p>
            <w:pPr>
              <w:jc w:val="center"/>
              <w:ind w:left="1052"/>
              <w:spacing w:after="0"/>
              <w:rPr>
                <w:sz w:val="20"/>
                <w:szCs w:val="20"/>
                <w:color w:val="auto"/>
              </w:rPr>
            </w:pPr>
            <w:r>
              <w:rPr>
                <w:rFonts w:ascii="Arial" w:cs="Arial" w:eastAsia="Arial" w:hAnsi="Arial"/>
                <w:sz w:val="18"/>
                <w:szCs w:val="18"/>
                <w:b w:val="1"/>
                <w:bCs w:val="1"/>
                <w:color w:val="auto"/>
                <w:w w:val="97"/>
              </w:rPr>
              <w:t>TAKE-TWO INTERACTIVE SOFTWARE, INC. and SUBSIDIARIES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620" w:type="dxa"/>
            <w:vAlign w:val="bottom"/>
          </w:tcPr>
          <w:p>
            <w:pPr>
              <w:jc w:val="center"/>
              <w:ind w:right="1112"/>
              <w:spacing w:after="0"/>
              <w:rPr>
                <w:sz w:val="20"/>
                <w:szCs w:val="20"/>
                <w:color w:val="auto"/>
              </w:rPr>
            </w:pPr>
            <w:r>
              <w:rPr>
                <w:rFonts w:ascii="Arial" w:cs="Arial" w:eastAsia="Arial" w:hAnsi="Arial"/>
                <w:sz w:val="18"/>
                <w:szCs w:val="18"/>
                <w:b w:val="1"/>
                <w:bCs w:val="1"/>
                <w:color w:val="auto"/>
                <w:w w:val="86"/>
              </w:rPr>
              <w:t>Notes to Consolidated Financial Statements</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620" w:type="dxa"/>
            <w:vAlign w:val="bottom"/>
          </w:tcPr>
          <w:p>
            <w:pPr>
              <w:jc w:val="center"/>
              <w:ind w:right="1112"/>
              <w:spacing w:after="0"/>
              <w:rPr>
                <w:sz w:val="20"/>
                <w:szCs w:val="20"/>
                <w:color w:val="auto"/>
              </w:rPr>
            </w:pPr>
            <w:r>
              <w:rPr>
                <w:rFonts w:ascii="Arial" w:cs="Arial" w:eastAsia="Arial" w:hAnsi="Arial"/>
                <w:sz w:val="18"/>
                <w:szCs w:val="18"/>
                <w:color w:val="auto"/>
                <w:w w:val="86"/>
              </w:rPr>
              <w:t>(Dollars in thousands, except per share amounts)</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56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9120" w:type="dxa"/>
            <w:vAlign w:val="bottom"/>
            <w:gridSpan w:val="4"/>
          </w:tcPr>
          <w:p>
            <w:pPr>
              <w:spacing w:after="0"/>
              <w:rPr>
                <w:sz w:val="20"/>
                <w:szCs w:val="20"/>
                <w:color w:val="auto"/>
              </w:rPr>
            </w:pPr>
            <w:r>
              <w:rPr>
                <w:rFonts w:ascii="Arial" w:cs="Arial" w:eastAsia="Arial" w:hAnsi="Arial"/>
                <w:sz w:val="18"/>
                <w:szCs w:val="18"/>
                <w:color w:val="auto"/>
              </w:rPr>
              <w:t>Future minimum rental payments required as of October 31, 2004 are as follows:</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Years ending October 31:</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340" w:type="dxa"/>
            <w:vAlign w:val="bottom"/>
            <w:tcBorders>
              <w:bottom w:val="single" w:sz="8" w:color="808080"/>
            </w:tcBorders>
          </w:tcPr>
          <w:p>
            <w:pPr>
              <w:spacing w:after="0"/>
              <w:rPr>
                <w:sz w:val="11"/>
                <w:szCs w:val="11"/>
                <w:color w:val="auto"/>
              </w:rPr>
            </w:pPr>
          </w:p>
        </w:tc>
        <w:tc>
          <w:tcPr>
            <w:tcW w:w="5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160" w:type="dxa"/>
            <w:vAlign w:val="bottom"/>
            <w:gridSpan w:val="2"/>
            <w:vMerge w:val="restart"/>
          </w:tcPr>
          <w:p>
            <w:pPr>
              <w:spacing w:after="0"/>
              <w:rPr>
                <w:sz w:val="8"/>
                <w:szCs w:val="8"/>
                <w:color w:val="auto"/>
              </w:rPr>
            </w:pPr>
          </w:p>
        </w:tc>
        <w:tc>
          <w:tcPr>
            <w:tcW w:w="2340" w:type="dxa"/>
            <w:vAlign w:val="bottom"/>
          </w:tcPr>
          <w:p>
            <w:pPr>
              <w:spacing w:after="0"/>
              <w:rPr>
                <w:sz w:val="8"/>
                <w:szCs w:val="8"/>
                <w:color w:val="auto"/>
              </w:rPr>
            </w:pPr>
          </w:p>
        </w:tc>
        <w:tc>
          <w:tcPr>
            <w:tcW w:w="56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160" w:type="dxa"/>
            <w:vAlign w:val="bottom"/>
            <w:gridSpan w:val="2"/>
            <w:vMerge w:val="continue"/>
          </w:tcPr>
          <w:p>
            <w:pPr>
              <w:spacing w:after="0"/>
              <w:rPr>
                <w:sz w:val="19"/>
                <w:szCs w:val="19"/>
                <w:color w:val="auto"/>
              </w:rPr>
            </w:pPr>
          </w:p>
        </w:tc>
        <w:tc>
          <w:tcPr>
            <w:tcW w:w="2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2005</w:t>
            </w:r>
          </w:p>
        </w:tc>
        <w:tc>
          <w:tcPr>
            <w:tcW w:w="5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gridSpan w:val="2"/>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2006</w:t>
            </w:r>
          </w:p>
        </w:tc>
        <w:tc>
          <w:tcPr>
            <w:tcW w:w="5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8,206</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gridSpan w:val="2"/>
            <w:vMerge w:val="restart"/>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vMerge w:val="continue"/>
          </w:tcPr>
          <w:p>
            <w:pPr>
              <w:spacing w:after="0"/>
              <w:rPr>
                <w:sz w:val="19"/>
                <w:szCs w:val="19"/>
                <w:color w:val="auto"/>
              </w:rPr>
            </w:pPr>
          </w:p>
        </w:tc>
        <w:tc>
          <w:tcPr>
            <w:tcW w:w="2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2007</w:t>
            </w:r>
          </w:p>
        </w:tc>
        <w:tc>
          <w:tcPr>
            <w:tcW w:w="5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gridSpan w:val="2"/>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2008</w:t>
            </w:r>
          </w:p>
        </w:tc>
        <w:tc>
          <w:tcPr>
            <w:tcW w:w="5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7,285</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gridSpan w:val="2"/>
            <w:vMerge w:val="restart"/>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vMerge w:val="continue"/>
          </w:tcPr>
          <w:p>
            <w:pPr>
              <w:spacing w:after="0"/>
              <w:rPr>
                <w:sz w:val="19"/>
                <w:szCs w:val="19"/>
                <w:color w:val="auto"/>
              </w:rPr>
            </w:pPr>
          </w:p>
        </w:tc>
        <w:tc>
          <w:tcPr>
            <w:tcW w:w="2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2009</w:t>
            </w:r>
          </w:p>
        </w:tc>
        <w:tc>
          <w:tcPr>
            <w:tcW w:w="5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13,434</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15,302</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7980" w:type="dxa"/>
            <w:vAlign w:val="bottom"/>
            <w:gridSpan w:val="3"/>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79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7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61,978</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Less minimum rentals to be received under subleases</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140" w:type="dxa"/>
            <w:vAlign w:val="bottom"/>
          </w:tcPr>
          <w:p>
            <w:pPr>
              <w:spacing w:after="0"/>
              <w:rPr>
                <w:sz w:val="11"/>
                <w:szCs w:val="11"/>
                <w:color w:val="auto"/>
              </w:rPr>
            </w:pPr>
          </w:p>
        </w:tc>
        <w:tc>
          <w:tcPr>
            <w:tcW w:w="7980" w:type="dxa"/>
            <w:vAlign w:val="bottom"/>
            <w:gridSpan w:val="3"/>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79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7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61,848</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9120" w:type="dxa"/>
            <w:vAlign w:val="bottom"/>
            <w:gridSpan w:val="4"/>
            <w:vMerge w:val="restart"/>
          </w:tcPr>
          <w:p>
            <w:pPr>
              <w:spacing w:after="0"/>
              <w:rPr>
                <w:sz w:val="20"/>
                <w:szCs w:val="20"/>
                <w:color w:val="auto"/>
              </w:rPr>
            </w:pPr>
            <w:r>
              <w:rPr>
                <w:rFonts w:ascii="Arial" w:cs="Arial" w:eastAsia="Arial" w:hAnsi="Arial"/>
                <w:sz w:val="18"/>
                <w:szCs w:val="18"/>
                <w:color w:val="auto"/>
                <w:w w:val="91"/>
              </w:rPr>
              <w:t>Rent expense amounted to $9,713, $7,445 and $5,090, for the years ended October 31, 2004, 2003, and 2002, respectively.</w:t>
            </w:r>
          </w:p>
        </w:tc>
        <w:tc>
          <w:tcPr>
            <w:tcW w:w="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912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20" w:type="dxa"/>
            <w:vAlign w:val="bottom"/>
            <w:gridSpan w:val="4"/>
          </w:tcPr>
          <w:p>
            <w:pPr>
              <w:spacing w:after="0"/>
              <w:rPr>
                <w:sz w:val="20"/>
                <w:szCs w:val="20"/>
                <w:color w:val="auto"/>
              </w:rPr>
            </w:pPr>
            <w:r>
              <w:rPr>
                <w:rFonts w:ascii="Arial" w:cs="Arial" w:eastAsia="Arial" w:hAnsi="Arial"/>
                <w:sz w:val="18"/>
                <w:szCs w:val="18"/>
                <w:b w:val="1"/>
                <w:bCs w:val="1"/>
                <w:color w:val="auto"/>
              </w:rPr>
              <w:t>Legal and Other Proceedings</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-628650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-628650</wp:posOffset>
            </wp:positionV>
            <wp:extent cx="215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-628650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November 2004, the Company submitted an offer of settlement of the previously announced investigation by the Enforcement Division of the Securities and Exchange Commission to the Staff of the Commission. The Staff has agreed to recommend the offer of settlement to the Commission. If approved by the Commission, the proposed settlement, under which the Company would neither admit nor deny the allegations of a Complaint, would fully resolve all claims relating to the investigation that commenced in December 2001. Pursuant to the offer of settlement, the Company would pay a civil penalty of $7.5 million, which has been accrued in the accompanying financial statements, and would be enjoined from future violations of the federal securities laws.</w:t>
      </w:r>
    </w:p>
    <w:p>
      <w:pPr>
        <w:spacing w:after="0" w:line="17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is involved in routine litigation in the ordinary course of its business, which in management’s opinion will not have a material adverse effect on the Company’s financial condition, cash flows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periodically enters into distribution agreements to purchase various software games that require the Company to make minimum guaranteed payments. These agreements, which expire between March 15, 2005 and December 31, 2005, require remaining aggregate minimum guaranteed payments of $7,487 at October 31, 2004. Additionally, assuming performance by third-party developers, the Company has outstanding commitments under various software development agreements to pay developers an aggregate of $82,342 during fiscal 2005. The Company also expects to spend $3,500 in fiscal 2005 in connection with the continued improvement of our software systems for its domestic and international operations. In addition, the Company expects to spend $4,500 in fiscal 2005 on leasehold improvements and equipment for the warehouse in Ohio.</w:t>
      </w:r>
    </w:p>
    <w:p>
      <w:pPr>
        <w:spacing w:after="0" w:line="17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Effective May 2004, the Company entered into a three-year agreement with SEGA Corporation, whereby it co-publishes and exclusively distributes SEGA’s sports titles. Under the current arrangement, the Company is entitled to receive all of the revenue and profit, if any, from the sale of the sports titles developed by Visual Concepts and Kush, and it is obligated to pay for development and marketing costs of the sports titles. The agreement may be terminated under certain circumstances, including as a result of SEGA’s failure to obtain licenses from the major sports leagues and players associations.</w:t>
      </w:r>
    </w:p>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an option agreement with SEGA, the Company has the right to purchase all of the outstanding capital stock of Visual Concepts and Kush. The option is exercisable until the earlier of (1) March 31, 2006 or (2) the termination of the distribution agreement with SEGA. The Company is currently negotiating the option price.</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connection with the acquisition of Mobius in fiscal 2004, the Company agreed to make additional contingent payments, of approximately $2,000 based on delivery of products. In fiscal 2003 the Company agreed to make additional payments of up to $2,500 to the former owners of Cat Daddy based on a percentage of Cat Daddy’s future profits for the first three years after acquisition. See Note 3. The payables will be recorded when the conditions requiring their payment are met.</w:t>
      </w:r>
    </w:p>
    <w:p>
      <w:pPr>
        <w:sectPr>
          <w:pgSz w:w="11900" w:h="16838" w:orient="portrait"/>
          <w:cols w:equalWidth="0" w:num="1">
            <w:col w:w="11420"/>
          </w:cols>
          <w:pgMar w:left="240" w:top="13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Additionally, in connection with the Company’s acquisition of the publishing rights to the franchise of Duke Nukem PC and video games in December 2000, the Company is contingently obligated to pay $6,000 in cash upon delivery of the final version of Duke Nukem Forever for the PC. In May 2003, the Company agreed to make payments of up to $6,000 in cash upon the achievement of certain sales targets for Max Payne 2. The Company does not expect these sales targets to be achieved.</w:t>
      </w:r>
    </w:p>
    <w:p>
      <w:pPr>
        <w:spacing w:after="0" w:line="191"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SAVINGS PLAN</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maintains a 401(k) retirement savings plan and trust (the “401(k) Plan”). The 401(k) Plan is offered to all eligible employees and participants may make voluntary contributions.. The Company began matching contributions in July 2002. The matching contribution expense incurred by the Company during the years ended October 31, 2004, 2003 and 2002 was $583, $384 and $95, respectively.</w:t>
      </w:r>
    </w:p>
    <w:p>
      <w:pPr>
        <w:spacing w:after="0" w:line="18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13.</w:t>
        <w:tab/>
        <w:t>INCOME TAXES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foreign income taxes in certain countries where it does business. Domestic and foreign income before income taxes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910" w:type="dxa"/>
            <w:vAlign w:val="bottom"/>
          </w:tcPr>
          <w:p>
            <w:pPr>
              <w:spacing w:after="0"/>
              <w:rPr>
                <w:sz w:val="15"/>
                <w:szCs w:val="15"/>
                <w:color w:val="auto"/>
              </w:rPr>
            </w:pPr>
          </w:p>
        </w:tc>
        <w:tc>
          <w:tcPr>
            <w:tcW w:w="1440" w:type="dxa"/>
            <w:vAlign w:val="bottom"/>
            <w:gridSpan w:val="5"/>
          </w:tcPr>
          <w:p>
            <w:pPr>
              <w:jc w:val="right"/>
              <w:spacing w:after="0"/>
              <w:rPr>
                <w:sz w:val="20"/>
                <w:szCs w:val="20"/>
                <w:color w:val="auto"/>
              </w:rPr>
            </w:pPr>
            <w:r>
              <w:rPr>
                <w:rFonts w:ascii="Arial" w:cs="Arial" w:eastAsia="Arial" w:hAnsi="Arial"/>
                <w:sz w:val="14"/>
                <w:szCs w:val="14"/>
                <w:b w:val="1"/>
                <w:bCs w:val="1"/>
                <w:color w:val="auto"/>
                <w:w w:val="85"/>
              </w:rPr>
              <w:t>Years Ended October 31,</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910" w:type="dxa"/>
            <w:vAlign w:val="bottom"/>
          </w:tcPr>
          <w:p>
            <w:pPr>
              <w:jc w:val="right"/>
              <w:ind w:right="236"/>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0" w:type="dxa"/>
            <w:vAlign w:val="bottom"/>
            <w:tcBorders>
              <w:bottom w:val="single" w:sz="8" w:color="808080"/>
            </w:tcBorders>
          </w:tcPr>
          <w:p>
            <w:pPr>
              <w:spacing w:after="0"/>
              <w:rPr>
                <w:sz w:val="16"/>
                <w:szCs w:val="16"/>
                <w:color w:val="auto"/>
              </w:rPr>
            </w:pPr>
          </w:p>
        </w:tc>
        <w:tc>
          <w:tcPr>
            <w:tcW w:w="91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1160" w:type="dxa"/>
            <w:vAlign w:val="bottom"/>
            <w:vMerge w:val="restart"/>
          </w:tcPr>
          <w:p>
            <w:pPr>
              <w:spacing w:after="0"/>
              <w:rPr>
                <w:sz w:val="24"/>
                <w:szCs w:val="24"/>
                <w:color w:val="auto"/>
              </w:rPr>
            </w:pPr>
          </w:p>
        </w:tc>
        <w:tc>
          <w:tcPr>
            <w:tcW w:w="3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229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1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52,774</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134,746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115,142</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Foreign</w:t>
            </w:r>
          </w:p>
        </w:tc>
        <w:tc>
          <w:tcPr>
            <w:tcW w:w="220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43,836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30,569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5,796</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4560" w:type="dxa"/>
            <w:vAlign w:val="bottom"/>
            <w:gridSpan w:val="2"/>
          </w:tcPr>
          <w:p>
            <w:pPr>
              <w:spacing w:after="0"/>
              <w:rPr>
                <w:sz w:val="11"/>
                <w:szCs w:val="11"/>
                <w:color w:val="auto"/>
              </w:rPr>
            </w:pPr>
          </w:p>
        </w:tc>
        <w:tc>
          <w:tcPr>
            <w:tcW w:w="2200" w:type="dxa"/>
            <w:vAlign w:val="bottom"/>
          </w:tcPr>
          <w:p>
            <w:pPr>
              <w:spacing w:after="0"/>
              <w:rPr>
                <w:sz w:val="11"/>
                <w:szCs w:val="11"/>
                <w:color w:val="auto"/>
              </w:rPr>
            </w:pPr>
          </w:p>
        </w:tc>
        <w:tc>
          <w:tcPr>
            <w:tcW w:w="90" w:type="dxa"/>
            <w:vAlign w:val="bottom"/>
            <w:tcBorders>
              <w:bottom w:val="single" w:sz="8" w:color="808080"/>
            </w:tcBorders>
          </w:tcPr>
          <w:p>
            <w:pPr>
              <w:spacing w:after="0"/>
              <w:rPr>
                <w:sz w:val="11"/>
                <w:szCs w:val="11"/>
                <w:color w:val="auto"/>
              </w:rPr>
            </w:pPr>
          </w:p>
        </w:tc>
        <w:tc>
          <w:tcPr>
            <w:tcW w:w="91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60" w:type="dxa"/>
            <w:vAlign w:val="bottom"/>
            <w:vMerge w:val="restart"/>
          </w:tcPr>
          <w:p>
            <w:pPr>
              <w:spacing w:after="0"/>
              <w:rPr>
                <w:sz w:val="10"/>
                <w:szCs w:val="10"/>
                <w:color w:val="auto"/>
              </w:rPr>
            </w:pPr>
          </w:p>
        </w:tc>
        <w:tc>
          <w:tcPr>
            <w:tcW w:w="34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90" w:type="dxa"/>
            <w:vAlign w:val="bottom"/>
          </w:tcPr>
          <w:p>
            <w:pPr>
              <w:spacing w:after="0"/>
              <w:rPr>
                <w:sz w:val="10"/>
                <w:szCs w:val="10"/>
                <w:color w:val="auto"/>
              </w:rPr>
            </w:pPr>
          </w:p>
        </w:tc>
        <w:tc>
          <w:tcPr>
            <w:tcW w:w="91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9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1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96,610</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165,315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120,938</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 is as follows:</w:t>
            </w:r>
          </w:p>
        </w:tc>
        <w:tc>
          <w:tcPr>
            <w:tcW w:w="2200" w:type="dxa"/>
            <w:vAlign w:val="bottom"/>
          </w:tcPr>
          <w:p>
            <w:pPr>
              <w:spacing w:after="0"/>
              <w:rPr>
                <w:sz w:val="10"/>
                <w:szCs w:val="10"/>
                <w:color w:val="auto"/>
              </w:rPr>
            </w:pPr>
          </w:p>
        </w:tc>
        <w:tc>
          <w:tcPr>
            <w:tcW w:w="9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4560" w:type="dxa"/>
            <w:vAlign w:val="bottom"/>
            <w:gridSpan w:val="2"/>
            <w:vMerge w:val="continue"/>
          </w:tcPr>
          <w:p>
            <w:pPr>
              <w:spacing w:after="0"/>
              <w:rPr>
                <w:sz w:val="24"/>
                <w:szCs w:val="24"/>
                <w:color w:val="auto"/>
              </w:rPr>
            </w:pPr>
          </w:p>
        </w:tc>
        <w:tc>
          <w:tcPr>
            <w:tcW w:w="22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1440" w:type="dxa"/>
            <w:vAlign w:val="bottom"/>
            <w:gridSpan w:val="5"/>
          </w:tcPr>
          <w:p>
            <w:pPr>
              <w:jc w:val="right"/>
              <w:spacing w:after="0"/>
              <w:rPr>
                <w:sz w:val="20"/>
                <w:szCs w:val="20"/>
                <w:color w:val="auto"/>
              </w:rPr>
            </w:pPr>
            <w:r>
              <w:rPr>
                <w:rFonts w:ascii="Arial" w:cs="Arial" w:eastAsia="Arial" w:hAnsi="Arial"/>
                <w:sz w:val="14"/>
                <w:szCs w:val="14"/>
                <w:b w:val="1"/>
                <w:bCs w:val="1"/>
                <w:color w:val="auto"/>
                <w:w w:val="85"/>
              </w:rPr>
              <w:t>Years Ended October 31,</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910" w:type="dxa"/>
            <w:vAlign w:val="bottom"/>
          </w:tcPr>
          <w:p>
            <w:pPr>
              <w:jc w:val="right"/>
              <w:ind w:right="236"/>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4560" w:type="dxa"/>
            <w:vAlign w:val="bottom"/>
            <w:gridSpan w:val="2"/>
            <w:vMerge w:val="restart"/>
          </w:tcPr>
          <w:p>
            <w:pPr>
              <w:ind w:left="1140"/>
              <w:spacing w:after="0"/>
              <w:rPr>
                <w:sz w:val="20"/>
                <w:szCs w:val="20"/>
                <w:color w:val="auto"/>
              </w:rPr>
            </w:pPr>
            <w:r>
              <w:rPr>
                <w:rFonts w:ascii="Arial" w:cs="Arial" w:eastAsia="Arial" w:hAnsi="Arial"/>
                <w:sz w:val="18"/>
                <w:szCs w:val="18"/>
                <w:color w:val="auto"/>
              </w:rPr>
              <w:t>Current:</w:t>
            </w:r>
          </w:p>
        </w:tc>
        <w:tc>
          <w:tcPr>
            <w:tcW w:w="2200" w:type="dxa"/>
            <w:vAlign w:val="bottom"/>
          </w:tcPr>
          <w:p>
            <w:pPr>
              <w:spacing w:after="0"/>
              <w:rPr>
                <w:sz w:val="16"/>
                <w:szCs w:val="16"/>
                <w:color w:val="auto"/>
              </w:rPr>
            </w:pPr>
          </w:p>
        </w:tc>
        <w:tc>
          <w:tcPr>
            <w:tcW w:w="90" w:type="dxa"/>
            <w:vAlign w:val="bottom"/>
            <w:tcBorders>
              <w:bottom w:val="single" w:sz="8" w:color="808080"/>
            </w:tcBorders>
          </w:tcPr>
          <w:p>
            <w:pPr>
              <w:spacing w:after="0"/>
              <w:rPr>
                <w:sz w:val="16"/>
                <w:szCs w:val="16"/>
                <w:color w:val="auto"/>
              </w:rPr>
            </w:pPr>
          </w:p>
        </w:tc>
        <w:tc>
          <w:tcPr>
            <w:tcW w:w="91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4560" w:type="dxa"/>
            <w:vAlign w:val="bottom"/>
            <w:gridSpan w:val="2"/>
            <w:vMerge w:val="continue"/>
          </w:tcPr>
          <w:p>
            <w:pPr>
              <w:spacing w:after="0"/>
              <w:rPr>
                <w:sz w:val="24"/>
                <w:szCs w:val="24"/>
                <w:color w:val="auto"/>
              </w:rPr>
            </w:pPr>
          </w:p>
        </w:tc>
        <w:tc>
          <w:tcPr>
            <w:tcW w:w="22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6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2290" w:type="dxa"/>
            <w:vAlign w:val="bottom"/>
            <w:gridSpan w:val="2"/>
          </w:tcPr>
          <w:p>
            <w:pPr>
              <w:spacing w:after="0"/>
              <w:rPr>
                <w:sz w:val="2"/>
                <w:szCs w:val="2"/>
                <w:color w:val="auto"/>
              </w:rPr>
            </w:pPr>
          </w:p>
        </w:tc>
        <w:tc>
          <w:tcPr>
            <w:tcW w:w="91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229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1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28,628</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33,167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35,275</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State and local</w:t>
            </w:r>
          </w:p>
        </w:tc>
        <w:tc>
          <w:tcPr>
            <w:tcW w:w="220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3,506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6,287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4,381</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vMerge w:val="restart"/>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91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2200" w:type="dxa"/>
            <w:vAlign w:val="bottom"/>
            <w:tcBorders>
              <w:bottom w:val="single" w:sz="8" w:color="CCEEFF"/>
            </w:tcBorders>
            <w:shd w:val="clear" w:color="auto" w:fill="CCEEFF"/>
          </w:tcPr>
          <w:p>
            <w:pPr>
              <w:spacing w:after="0"/>
              <w:rPr>
                <w:sz w:val="19"/>
                <w:szCs w:val="19"/>
                <w:color w:val="auto"/>
              </w:rPr>
            </w:pPr>
          </w:p>
        </w:tc>
        <w:tc>
          <w:tcPr>
            <w:tcW w:w="90" w:type="dxa"/>
            <w:vAlign w:val="bottom"/>
            <w:tcBorders>
              <w:bottom w:val="single" w:sz="8" w:color="CCEEFF"/>
            </w:tcBorders>
            <w:shd w:val="clear" w:color="auto" w:fill="CCEEFF"/>
          </w:tcPr>
          <w:p>
            <w:pPr>
              <w:spacing w:after="0"/>
              <w:rPr>
                <w:sz w:val="19"/>
                <w:szCs w:val="19"/>
                <w:color w:val="auto"/>
              </w:rPr>
            </w:pPr>
          </w:p>
        </w:tc>
        <w:tc>
          <w:tcPr>
            <w:tcW w:w="91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11,791</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14,703</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Deferred:</w:t>
            </w:r>
          </w:p>
        </w:tc>
        <w:tc>
          <w:tcPr>
            <w:tcW w:w="220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1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560" w:type="dxa"/>
            <w:vAlign w:val="bottom"/>
            <w:gridSpan w:val="2"/>
          </w:tcPr>
          <w:p>
            <w:pPr>
              <w:ind w:left="1140"/>
              <w:spacing w:after="0"/>
              <w:rPr>
                <w:sz w:val="20"/>
                <w:szCs w:val="20"/>
                <w:color w:val="auto"/>
              </w:rPr>
            </w:pPr>
            <w:r>
              <w:rPr>
                <w:rFonts w:ascii="Arial" w:cs="Arial" w:eastAsia="Arial" w:hAnsi="Arial"/>
                <w:sz w:val="18"/>
                <w:szCs w:val="18"/>
                <w:color w:val="auto"/>
              </w:rPr>
              <w:t>Federal, Foreign, State and Local</w:t>
            </w:r>
          </w:p>
        </w:tc>
        <w:tc>
          <w:tcPr>
            <w:tcW w:w="220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1090" w:type="dxa"/>
            <w:vAlign w:val="bottom"/>
            <w:gridSpan w:val="2"/>
          </w:tcPr>
          <w:p>
            <w:pPr>
              <w:jc w:val="right"/>
              <w:ind w:right="39"/>
              <w:spacing w:after="0"/>
              <w:rPr>
                <w:sz w:val="20"/>
                <w:szCs w:val="20"/>
                <w:color w:val="auto"/>
              </w:rPr>
            </w:pPr>
            <w:r>
              <w:rPr>
                <w:rFonts w:ascii="Arial" w:cs="Arial" w:eastAsia="Arial" w:hAnsi="Arial"/>
                <w:sz w:val="18"/>
                <w:szCs w:val="18"/>
                <w:color w:val="auto"/>
              </w:rPr>
              <w:t>(12,693)</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13,040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6,726</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4560" w:type="dxa"/>
            <w:vAlign w:val="bottom"/>
            <w:gridSpan w:val="2"/>
          </w:tcPr>
          <w:p>
            <w:pPr>
              <w:spacing w:after="0"/>
              <w:rPr>
                <w:sz w:val="11"/>
                <w:szCs w:val="11"/>
                <w:color w:val="auto"/>
              </w:rPr>
            </w:pPr>
          </w:p>
        </w:tc>
        <w:tc>
          <w:tcPr>
            <w:tcW w:w="2200" w:type="dxa"/>
            <w:vAlign w:val="bottom"/>
          </w:tcPr>
          <w:p>
            <w:pPr>
              <w:spacing w:after="0"/>
              <w:rPr>
                <w:sz w:val="11"/>
                <w:szCs w:val="11"/>
                <w:color w:val="auto"/>
              </w:rPr>
            </w:pPr>
          </w:p>
        </w:tc>
        <w:tc>
          <w:tcPr>
            <w:tcW w:w="90" w:type="dxa"/>
            <w:vAlign w:val="bottom"/>
            <w:tcBorders>
              <w:bottom w:val="single" w:sz="8" w:color="808080"/>
            </w:tcBorders>
          </w:tcPr>
          <w:p>
            <w:pPr>
              <w:spacing w:after="0"/>
              <w:rPr>
                <w:sz w:val="11"/>
                <w:szCs w:val="11"/>
                <w:color w:val="auto"/>
              </w:rPr>
            </w:pPr>
          </w:p>
        </w:tc>
        <w:tc>
          <w:tcPr>
            <w:tcW w:w="91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60" w:type="dxa"/>
            <w:vAlign w:val="bottom"/>
            <w:vMerge w:val="restart"/>
          </w:tcPr>
          <w:p>
            <w:pPr>
              <w:spacing w:after="0"/>
              <w:rPr>
                <w:sz w:val="10"/>
                <w:szCs w:val="10"/>
                <w:color w:val="auto"/>
              </w:rPr>
            </w:pPr>
          </w:p>
        </w:tc>
        <w:tc>
          <w:tcPr>
            <w:tcW w:w="3400" w:type="dxa"/>
            <w:vAlign w:val="bottom"/>
          </w:tcPr>
          <w:p>
            <w:pPr>
              <w:spacing w:after="0"/>
              <w:rPr>
                <w:sz w:val="10"/>
                <w:szCs w:val="10"/>
                <w:color w:val="auto"/>
              </w:rPr>
            </w:pPr>
          </w:p>
        </w:tc>
        <w:tc>
          <w:tcPr>
            <w:tcW w:w="2290" w:type="dxa"/>
            <w:vAlign w:val="bottom"/>
            <w:gridSpan w:val="2"/>
          </w:tcPr>
          <w:p>
            <w:pPr>
              <w:spacing w:after="0"/>
              <w:rPr>
                <w:sz w:val="10"/>
                <w:szCs w:val="10"/>
                <w:color w:val="auto"/>
              </w:rPr>
            </w:pPr>
          </w:p>
        </w:tc>
        <w:tc>
          <w:tcPr>
            <w:tcW w:w="910" w:type="dxa"/>
            <w:vAlign w:val="bottom"/>
          </w:tcPr>
          <w:p>
            <w:pPr>
              <w:spacing w:after="0"/>
              <w:rPr>
                <w:sz w:val="10"/>
                <w:szCs w:val="10"/>
                <w:color w:val="auto"/>
              </w:rPr>
            </w:pPr>
          </w:p>
        </w:tc>
        <w:tc>
          <w:tcPr>
            <w:tcW w:w="280" w:type="dxa"/>
            <w:vAlign w:val="bottom"/>
            <w:gridSpan w:val="2"/>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gridSpan w:val="2"/>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9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1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31,232</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67,197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49,375</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200" w:type="dxa"/>
            <w:vAlign w:val="bottom"/>
            <w:vMerge w:val="restart"/>
          </w:tcPr>
          <w:p>
            <w:pPr>
              <w:jc w:val="right"/>
              <w:ind w:right="872"/>
              <w:spacing w:after="0"/>
              <w:rPr>
                <w:sz w:val="20"/>
                <w:szCs w:val="20"/>
                <w:color w:val="auto"/>
              </w:rPr>
            </w:pPr>
            <w:r>
              <w:rPr>
                <w:rFonts w:ascii="Arial" w:cs="Arial" w:eastAsia="Arial" w:hAnsi="Arial"/>
                <w:sz w:val="18"/>
                <w:szCs w:val="18"/>
                <w:color w:val="auto"/>
              </w:rPr>
              <w:t>58</w:t>
            </w:r>
          </w:p>
        </w:tc>
        <w:tc>
          <w:tcPr>
            <w:tcW w:w="90" w:type="dxa"/>
            <w:vAlign w:val="bottom"/>
            <w:tcBorders>
              <w:bottom w:val="single" w:sz="8" w:color="808080"/>
            </w:tcBorders>
          </w:tcPr>
          <w:p>
            <w:pPr>
              <w:spacing w:after="0"/>
              <w:rPr>
                <w:sz w:val="10"/>
                <w:szCs w:val="10"/>
                <w:color w:val="auto"/>
              </w:rPr>
            </w:pPr>
          </w:p>
        </w:tc>
        <w:tc>
          <w:tcPr>
            <w:tcW w:w="91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9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90" w:type="dxa"/>
            <w:vAlign w:val="bottom"/>
            <w:tcBorders>
              <w:bottom w:val="single" w:sz="8" w:color="808080"/>
            </w:tcBorders>
          </w:tcPr>
          <w:p>
            <w:pPr>
              <w:spacing w:after="0"/>
              <w:rPr>
                <w:sz w:val="19"/>
                <w:szCs w:val="19"/>
                <w:color w:val="auto"/>
              </w:rPr>
            </w:pPr>
          </w:p>
        </w:tc>
        <w:tc>
          <w:tcPr>
            <w:tcW w:w="91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4290695</wp:posOffset>
            </wp:positionH>
            <wp:positionV relativeFrom="paragraph">
              <wp:posOffset>-2775585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-2775585</wp:posOffset>
            </wp:positionV>
            <wp:extent cx="215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-2775585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-2775585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-2775585</wp:posOffset>
            </wp:positionV>
            <wp:extent cx="215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-2775585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-2775585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-2775585</wp:posOffset>
            </wp:positionV>
            <wp:extent cx="215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-2775585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-511810</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-511810</wp:posOffset>
            </wp:positionV>
            <wp:extent cx="215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-511810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-511810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-511810</wp:posOffset>
            </wp:positionV>
            <wp:extent cx="215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-511810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-511810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-511810</wp:posOffset>
            </wp:positionV>
            <wp:extent cx="215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-511810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differences between the provision for income taxes and the income tax computed using the U.S. statutory federal income tax rate to pretax income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2350" w:type="dxa"/>
            <w:vAlign w:val="bottom"/>
            <w:gridSpan w:val="7"/>
          </w:tcPr>
          <w:p>
            <w:pPr>
              <w:jc w:val="right"/>
              <w:spacing w:after="0"/>
              <w:rPr>
                <w:sz w:val="20"/>
                <w:szCs w:val="20"/>
                <w:color w:val="auto"/>
              </w:rPr>
            </w:pPr>
            <w:r>
              <w:rPr>
                <w:rFonts w:ascii="Arial" w:cs="Arial" w:eastAsia="Arial" w:hAnsi="Arial"/>
                <w:sz w:val="14"/>
                <w:szCs w:val="14"/>
                <w:b w:val="1"/>
                <w:bCs w:val="1"/>
                <w:color w:val="auto"/>
              </w:rPr>
              <w:t>Years Ended October 31,</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910" w:type="dxa"/>
            <w:vAlign w:val="bottom"/>
          </w:tcPr>
          <w:p>
            <w:pPr>
              <w:jc w:val="right"/>
              <w:ind w:right="236"/>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 w:type="dxa"/>
            <w:vAlign w:val="bottom"/>
            <w:tcBorders>
              <w:bottom w:val="single" w:sz="8" w:color="808080"/>
            </w:tcBorders>
          </w:tcPr>
          <w:p>
            <w:pPr>
              <w:spacing w:after="0"/>
              <w:rPr>
                <w:sz w:val="16"/>
                <w:szCs w:val="16"/>
                <w:color w:val="auto"/>
              </w:rPr>
            </w:pPr>
          </w:p>
        </w:tc>
        <w:tc>
          <w:tcPr>
            <w:tcW w:w="910" w:type="dxa"/>
            <w:vAlign w:val="bottom"/>
            <w:tcBorders>
              <w:bottom w:val="single" w:sz="8" w:color="808080"/>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1160" w:type="dxa"/>
            <w:vAlign w:val="bottom"/>
            <w:vMerge w:val="restart"/>
          </w:tcPr>
          <w:p>
            <w:pPr>
              <w:spacing w:after="0"/>
              <w:rPr>
                <w:sz w:val="24"/>
                <w:szCs w:val="24"/>
                <w:color w:val="auto"/>
              </w:rPr>
            </w:pPr>
          </w:p>
        </w:tc>
        <w:tc>
          <w:tcPr>
            <w:tcW w:w="4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Statutory federal tax expense</w:t>
            </w:r>
          </w:p>
        </w:tc>
        <w:tc>
          <w:tcPr>
            <w:tcW w:w="137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1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33,814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57,860</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42,324</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Changes in expenses resulting from:</w:t>
            </w:r>
          </w:p>
        </w:tc>
        <w:tc>
          <w:tcPr>
            <w:tcW w:w="128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1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p>
        </w:tc>
        <w:tc>
          <w:tcPr>
            <w:tcW w:w="4320" w:type="dxa"/>
            <w:vAlign w:val="bottom"/>
          </w:tcPr>
          <w:p>
            <w:pPr>
              <w:ind w:left="260"/>
              <w:spacing w:after="0"/>
              <w:rPr>
                <w:sz w:val="20"/>
                <w:szCs w:val="20"/>
                <w:color w:val="auto"/>
              </w:rPr>
            </w:pPr>
            <w:r>
              <w:rPr>
                <w:rFonts w:ascii="Arial" w:cs="Arial" w:eastAsia="Arial" w:hAnsi="Arial"/>
                <w:sz w:val="18"/>
                <w:szCs w:val="18"/>
                <w:color w:val="auto"/>
              </w:rPr>
              <w:t>State taxes, net of federal benefit</w:t>
            </w:r>
          </w:p>
        </w:tc>
        <w:tc>
          <w:tcPr>
            <w:tcW w:w="128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1,651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4,035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2,995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 w:type="dxa"/>
            <w:vAlign w:val="bottom"/>
          </w:tcPr>
          <w:p>
            <w:pPr>
              <w:spacing w:after="0"/>
              <w:rPr>
                <w:sz w:val="2"/>
                <w:szCs w:val="2"/>
                <w:color w:val="auto"/>
              </w:rPr>
            </w:pPr>
          </w:p>
        </w:tc>
        <w:tc>
          <w:tcPr>
            <w:tcW w:w="91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 tax expense differential</w:t>
            </w:r>
          </w:p>
        </w:tc>
        <w:tc>
          <w:tcPr>
            <w:tcW w:w="1280" w:type="dxa"/>
            <w:vAlign w:val="bottom"/>
            <w:tcBorders>
              <w:bottom w:val="single" w:sz="8" w:color="CCEEFF"/>
            </w:tcBorders>
            <w:shd w:val="clear" w:color="auto" w:fill="CCEEFF"/>
          </w:tcPr>
          <w:p>
            <w:pPr>
              <w:spacing w:after="0"/>
              <w:rPr>
                <w:sz w:val="19"/>
                <w:szCs w:val="19"/>
                <w:color w:val="auto"/>
              </w:rPr>
            </w:pPr>
          </w:p>
        </w:tc>
        <w:tc>
          <w:tcPr>
            <w:tcW w:w="90" w:type="dxa"/>
            <w:vAlign w:val="bottom"/>
            <w:tcBorders>
              <w:bottom w:val="single" w:sz="8" w:color="CCEEFF"/>
            </w:tcBorders>
            <w:shd w:val="clear" w:color="auto" w:fill="CCEEFF"/>
          </w:tcPr>
          <w:p>
            <w:pPr>
              <w:spacing w:after="0"/>
              <w:rPr>
                <w:sz w:val="19"/>
                <w:szCs w:val="19"/>
                <w:color w:val="auto"/>
              </w:rPr>
            </w:pPr>
          </w:p>
        </w:tc>
        <w:tc>
          <w:tcPr>
            <w:tcW w:w="103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(3,738)</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20" w:type="dxa"/>
            <w:vAlign w:val="bottom"/>
          </w:tcPr>
          <w:p>
            <w:pPr>
              <w:ind w:left="260"/>
              <w:spacing w:after="0"/>
              <w:rPr>
                <w:sz w:val="20"/>
                <w:szCs w:val="20"/>
                <w:color w:val="auto"/>
              </w:rPr>
            </w:pPr>
            <w:r>
              <w:rPr>
                <w:rFonts w:ascii="Arial" w:cs="Arial" w:eastAsia="Arial" w:hAnsi="Arial"/>
                <w:sz w:val="18"/>
                <w:szCs w:val="18"/>
                <w:color w:val="auto"/>
              </w:rPr>
              <w:t>Extraterritorial income exclusion</w:t>
            </w:r>
          </w:p>
        </w:tc>
        <w:tc>
          <w:tcPr>
            <w:tcW w:w="128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030" w:type="dxa"/>
            <w:vAlign w:val="bottom"/>
            <w:gridSpan w:val="2"/>
          </w:tcPr>
          <w:p>
            <w:pPr>
              <w:jc w:val="right"/>
              <w:ind w:right="60"/>
              <w:spacing w:after="0"/>
              <w:rPr>
                <w:sz w:val="20"/>
                <w:szCs w:val="20"/>
                <w:color w:val="auto"/>
              </w:rPr>
            </w:pPr>
            <w:r>
              <w:rPr>
                <w:rFonts w:ascii="Arial" w:cs="Arial" w:eastAsia="Arial" w:hAnsi="Arial"/>
                <w:sz w:val="18"/>
                <w:szCs w:val="18"/>
                <w:color w:val="auto"/>
              </w:rPr>
              <w:t>(3,858)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(9,163)</w:t>
            </w:r>
          </w:p>
        </w:tc>
        <w:tc>
          <w:tcPr>
            <w:tcW w:w="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91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Valuation allowances</w:t>
            </w:r>
          </w:p>
        </w:tc>
        <w:tc>
          <w:tcPr>
            <w:tcW w:w="1280" w:type="dxa"/>
            <w:vAlign w:val="bottom"/>
            <w:tcBorders>
              <w:bottom w:val="single" w:sz="8" w:color="CCEEFF"/>
            </w:tcBorders>
            <w:shd w:val="clear" w:color="auto" w:fill="CCEEFF"/>
          </w:tcPr>
          <w:p>
            <w:pPr>
              <w:spacing w:after="0"/>
              <w:rPr>
                <w:sz w:val="19"/>
                <w:szCs w:val="19"/>
                <w:color w:val="auto"/>
              </w:rPr>
            </w:pPr>
          </w:p>
        </w:tc>
        <w:tc>
          <w:tcPr>
            <w:tcW w:w="90" w:type="dxa"/>
            <w:vAlign w:val="bottom"/>
            <w:tcBorders>
              <w:bottom w:val="single" w:sz="8" w:color="CCEEFF"/>
            </w:tcBorders>
            <w:shd w:val="clear" w:color="auto" w:fill="CCEEFF"/>
          </w:tcPr>
          <w:p>
            <w:pPr>
              <w:spacing w:after="0"/>
              <w:rPr>
                <w:sz w:val="19"/>
                <w:szCs w:val="19"/>
                <w:color w:val="auto"/>
              </w:rPr>
            </w:pPr>
          </w:p>
        </w:tc>
        <w:tc>
          <w:tcPr>
            <w:tcW w:w="91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10,429</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20" w:type="dxa"/>
            <w:vAlign w:val="bottom"/>
          </w:tcPr>
          <w:p>
            <w:pPr>
              <w:ind w:left="260"/>
              <w:spacing w:after="0"/>
              <w:rPr>
                <w:sz w:val="20"/>
                <w:szCs w:val="20"/>
                <w:color w:val="auto"/>
              </w:rPr>
            </w:pPr>
            <w:r>
              <w:rPr>
                <w:rFonts w:ascii="Arial" w:cs="Arial" w:eastAsia="Arial" w:hAnsi="Arial"/>
                <w:sz w:val="18"/>
                <w:szCs w:val="18"/>
                <w:color w:val="auto"/>
              </w:rPr>
              <w:t>Provision for settlement, not deductible</w:t>
            </w:r>
          </w:p>
        </w:tc>
        <w:tc>
          <w:tcPr>
            <w:tcW w:w="128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2,625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91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permanent items</w:t>
            </w:r>
          </w:p>
        </w:tc>
        <w:tc>
          <w:tcPr>
            <w:tcW w:w="1280" w:type="dxa"/>
            <w:vAlign w:val="bottom"/>
            <w:tcBorders>
              <w:bottom w:val="single" w:sz="8" w:color="CCEEFF"/>
            </w:tcBorders>
            <w:shd w:val="clear" w:color="auto" w:fill="CCEEFF"/>
          </w:tcPr>
          <w:p>
            <w:pPr>
              <w:spacing w:after="0"/>
              <w:rPr>
                <w:sz w:val="19"/>
                <w:szCs w:val="19"/>
                <w:color w:val="auto"/>
              </w:rPr>
            </w:pPr>
          </w:p>
        </w:tc>
        <w:tc>
          <w:tcPr>
            <w:tcW w:w="90" w:type="dxa"/>
            <w:vAlign w:val="bottom"/>
            <w:tcBorders>
              <w:bottom w:val="single" w:sz="8" w:color="CCEEFF"/>
            </w:tcBorders>
            <w:shd w:val="clear" w:color="auto" w:fill="CCEEFF"/>
          </w:tcPr>
          <w:p>
            <w:pPr>
              <w:spacing w:after="0"/>
              <w:rPr>
                <w:sz w:val="19"/>
                <w:szCs w:val="19"/>
                <w:color w:val="auto"/>
              </w:rPr>
            </w:pPr>
          </w:p>
        </w:tc>
        <w:tc>
          <w:tcPr>
            <w:tcW w:w="103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 w:type="dxa"/>
            <w:vAlign w:val="bottom"/>
            <w:tcBorders>
              <w:bottom w:val="single" w:sz="8" w:color="808080"/>
            </w:tcBorders>
          </w:tcPr>
          <w:p>
            <w:pPr>
              <w:spacing w:after="0"/>
              <w:rPr>
                <w:sz w:val="9"/>
                <w:szCs w:val="9"/>
                <w:color w:val="auto"/>
              </w:rPr>
            </w:pPr>
          </w:p>
        </w:tc>
        <w:tc>
          <w:tcPr>
            <w:tcW w:w="91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1160" w:type="dxa"/>
            <w:vAlign w:val="bottom"/>
          </w:tcPr>
          <w:p>
            <w:pPr>
              <w:spacing w:after="0"/>
              <w:rPr>
                <w:sz w:val="24"/>
                <w:szCs w:val="24"/>
                <w:color w:val="auto"/>
              </w:rPr>
            </w:pPr>
          </w:p>
        </w:tc>
        <w:tc>
          <w:tcPr>
            <w:tcW w:w="432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137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10" w:type="dxa"/>
            <w:vAlign w:val="bottom"/>
          </w:tcPr>
          <w:p>
            <w:pPr>
              <w:jc w:val="right"/>
              <w:spacing w:after="0"/>
              <w:rPr>
                <w:sz w:val="20"/>
                <w:szCs w:val="20"/>
                <w:color w:val="auto"/>
              </w:rPr>
            </w:pPr>
            <w:r>
              <w:rPr>
                <w:rFonts w:ascii="Arial" w:cs="Arial" w:eastAsia="Arial" w:hAnsi="Arial"/>
                <w:sz w:val="18"/>
                <w:szCs w:val="18"/>
                <w:color w:val="auto"/>
              </w:rPr>
              <w:t>31,232</w:t>
            </w:r>
          </w:p>
        </w:tc>
        <w:tc>
          <w:tcPr>
            <w:tcW w:w="120" w:type="dxa"/>
            <w:vAlign w:val="bottom"/>
          </w:tcPr>
          <w:p>
            <w:pPr>
              <w:spacing w:after="0"/>
              <w:rPr>
                <w:sz w:val="24"/>
                <w:szCs w:val="2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67,197</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49,375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6760" w:type="dxa"/>
            <w:vAlign w:val="bottom"/>
            <w:gridSpan w:val="3"/>
          </w:tcPr>
          <w:p>
            <w:pPr>
              <w:spacing w:after="0"/>
              <w:rPr>
                <w:sz w:val="12"/>
                <w:szCs w:val="12"/>
                <w:color w:val="auto"/>
              </w:rPr>
            </w:pPr>
          </w:p>
        </w:tc>
        <w:tc>
          <w:tcPr>
            <w:tcW w:w="90" w:type="dxa"/>
            <w:vAlign w:val="bottom"/>
            <w:tcBorders>
              <w:bottom w:val="single" w:sz="8" w:color="808080"/>
            </w:tcBorders>
          </w:tcPr>
          <w:p>
            <w:pPr>
              <w:spacing w:after="0"/>
              <w:rPr>
                <w:sz w:val="12"/>
                <w:szCs w:val="12"/>
                <w:color w:val="auto"/>
              </w:rPr>
            </w:pPr>
          </w:p>
        </w:tc>
        <w:tc>
          <w:tcPr>
            <w:tcW w:w="91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5"/>
        </w:trPr>
        <w:tc>
          <w:tcPr>
            <w:tcW w:w="7880" w:type="dxa"/>
            <w:vAlign w:val="bottom"/>
            <w:gridSpan w:val="6"/>
          </w:tcPr>
          <w:p>
            <w:pPr>
              <w:spacing w:after="0"/>
              <w:rPr>
                <w:sz w:val="20"/>
                <w:szCs w:val="20"/>
                <w:color w:val="auto"/>
              </w:rPr>
            </w:pPr>
            <w:r>
              <w:rPr>
                <w:rFonts w:ascii="Arial" w:cs="Arial" w:eastAsia="Arial" w:hAnsi="Arial"/>
                <w:sz w:val="18"/>
                <w:szCs w:val="18"/>
                <w:color w:val="auto"/>
                <w:w w:val="94"/>
              </w:rPr>
              <w:t>The components of the net deferred tax asset as of October 31, 2004 and 2003 consists of the following:</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1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480" w:type="dxa"/>
            <w:vAlign w:val="bottom"/>
            <w:gridSpan w:val="2"/>
            <w:vMerge w:val="restart"/>
          </w:tcPr>
          <w:p>
            <w:pPr>
              <w:ind w:left="1140"/>
              <w:spacing w:after="0"/>
              <w:rPr>
                <w:sz w:val="20"/>
                <w:szCs w:val="20"/>
                <w:color w:val="auto"/>
              </w:rPr>
            </w:pPr>
            <w:r>
              <w:rPr>
                <w:rFonts w:ascii="Arial" w:cs="Arial" w:eastAsia="Arial" w:hAnsi="Arial"/>
                <w:sz w:val="18"/>
                <w:szCs w:val="18"/>
                <w:color w:val="auto"/>
              </w:rPr>
              <w:t>Current:</w:t>
            </w:r>
          </w:p>
        </w:tc>
        <w:tc>
          <w:tcPr>
            <w:tcW w:w="128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91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548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80" w:type="dxa"/>
            <w:vAlign w:val="bottom"/>
            <w:gridSpan w:val="2"/>
          </w:tcPr>
          <w:p>
            <w:pPr>
              <w:ind w:left="1140"/>
              <w:spacing w:after="0"/>
              <w:rPr>
                <w:sz w:val="20"/>
                <w:szCs w:val="20"/>
                <w:color w:val="auto"/>
              </w:rPr>
            </w:pPr>
            <w:r>
              <w:rPr>
                <w:rFonts w:ascii="Arial" w:cs="Arial" w:eastAsia="Arial" w:hAnsi="Arial"/>
                <w:sz w:val="18"/>
                <w:szCs w:val="18"/>
                <w:color w:val="auto"/>
              </w:rPr>
              <w:t>Deferred tax asset:</w:t>
            </w:r>
          </w:p>
        </w:tc>
        <w:tc>
          <w:tcPr>
            <w:tcW w:w="128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91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 w:type="dxa"/>
            <w:vAlign w:val="bottom"/>
          </w:tcPr>
          <w:p>
            <w:pPr>
              <w:spacing w:after="0"/>
              <w:rPr>
                <w:sz w:val="2"/>
                <w:szCs w:val="2"/>
                <w:color w:val="auto"/>
              </w:rPr>
            </w:pPr>
          </w:p>
        </w:tc>
        <w:tc>
          <w:tcPr>
            <w:tcW w:w="91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Bad debt allowance</w:t>
            </w:r>
          </w:p>
        </w:tc>
        <w:tc>
          <w:tcPr>
            <w:tcW w:w="1280" w:type="dxa"/>
            <w:vAlign w:val="bottom"/>
            <w:tcBorders>
              <w:bottom w:val="single" w:sz="8" w:color="CCEEFF"/>
            </w:tcBorders>
            <w:shd w:val="clear" w:color="auto" w:fill="CCEEFF"/>
          </w:tcPr>
          <w:p>
            <w:pPr>
              <w:spacing w:after="0"/>
              <w:rPr>
                <w:sz w:val="19"/>
                <w:szCs w:val="19"/>
                <w:color w:val="auto"/>
              </w:rPr>
            </w:pPr>
          </w:p>
        </w:tc>
        <w:tc>
          <w:tcPr>
            <w:tcW w:w="90" w:type="dxa"/>
            <w:vAlign w:val="bottom"/>
            <w:tcBorders>
              <w:bottom w:val="single" w:sz="8" w:color="CCEEFF"/>
            </w:tcBorders>
            <w:shd w:val="clear" w:color="auto" w:fill="CCEEFF"/>
          </w:tcPr>
          <w:p>
            <w:pPr>
              <w:spacing w:after="0"/>
              <w:rPr>
                <w:sz w:val="19"/>
                <w:szCs w:val="19"/>
                <w:color w:val="auto"/>
              </w:rPr>
            </w:pPr>
          </w:p>
        </w:tc>
        <w:tc>
          <w:tcPr>
            <w:tcW w:w="91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20" w:type="dxa"/>
            <w:vAlign w:val="bottom"/>
          </w:tcPr>
          <w:p>
            <w:pPr>
              <w:ind w:left="260"/>
              <w:spacing w:after="0"/>
              <w:rPr>
                <w:sz w:val="20"/>
                <w:szCs w:val="20"/>
                <w:color w:val="auto"/>
              </w:rPr>
            </w:pPr>
            <w:r>
              <w:rPr>
                <w:rFonts w:ascii="Arial" w:cs="Arial" w:eastAsia="Arial" w:hAnsi="Arial"/>
                <w:sz w:val="18"/>
                <w:szCs w:val="18"/>
                <w:color w:val="auto"/>
              </w:rPr>
              <w:t>Other – including reserves</w:t>
            </w:r>
          </w:p>
        </w:tc>
        <w:tc>
          <w:tcPr>
            <w:tcW w:w="128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1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5,942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91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Compensation benefit</w:t>
            </w:r>
          </w:p>
        </w:tc>
        <w:tc>
          <w:tcPr>
            <w:tcW w:w="1280" w:type="dxa"/>
            <w:vAlign w:val="bottom"/>
            <w:tcBorders>
              <w:bottom w:val="single" w:sz="8" w:color="CCEEFF"/>
            </w:tcBorders>
            <w:shd w:val="clear" w:color="auto" w:fill="CCEEFF"/>
          </w:tcPr>
          <w:p>
            <w:pPr>
              <w:spacing w:after="0"/>
              <w:rPr>
                <w:sz w:val="19"/>
                <w:szCs w:val="19"/>
                <w:color w:val="auto"/>
              </w:rPr>
            </w:pPr>
          </w:p>
        </w:tc>
        <w:tc>
          <w:tcPr>
            <w:tcW w:w="90" w:type="dxa"/>
            <w:vAlign w:val="bottom"/>
            <w:tcBorders>
              <w:bottom w:val="single" w:sz="8" w:color="CCEEFF"/>
            </w:tcBorders>
            <w:shd w:val="clear" w:color="auto" w:fill="CCEEFF"/>
          </w:tcPr>
          <w:p>
            <w:pPr>
              <w:spacing w:after="0"/>
              <w:rPr>
                <w:sz w:val="19"/>
                <w:szCs w:val="19"/>
                <w:color w:val="auto"/>
              </w:rPr>
            </w:pPr>
          </w:p>
        </w:tc>
        <w:tc>
          <w:tcPr>
            <w:tcW w:w="91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 w:type="dxa"/>
            <w:vAlign w:val="bottom"/>
          </w:tcPr>
          <w:p>
            <w:pPr>
              <w:spacing w:after="0"/>
              <w:rPr>
                <w:sz w:val="9"/>
                <w:szCs w:val="9"/>
                <w:color w:val="auto"/>
              </w:rPr>
            </w:pPr>
          </w:p>
        </w:tc>
        <w:tc>
          <w:tcPr>
            <w:tcW w:w="91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1160" w:type="dxa"/>
            <w:vAlign w:val="bottom"/>
          </w:tcPr>
          <w:p>
            <w:pPr>
              <w:spacing w:after="0"/>
              <w:rPr>
                <w:sz w:val="24"/>
                <w:szCs w:val="24"/>
                <w:color w:val="auto"/>
              </w:rPr>
            </w:pPr>
          </w:p>
        </w:tc>
        <w:tc>
          <w:tcPr>
            <w:tcW w:w="4320" w:type="dxa"/>
            <w:vAlign w:val="bottom"/>
          </w:tcPr>
          <w:p>
            <w:pPr>
              <w:ind w:left="260"/>
              <w:spacing w:after="0"/>
              <w:rPr>
                <w:sz w:val="20"/>
                <w:szCs w:val="20"/>
                <w:color w:val="auto"/>
              </w:rPr>
            </w:pPr>
            <w:r>
              <w:rPr>
                <w:rFonts w:ascii="Arial" w:cs="Arial" w:eastAsia="Arial" w:hAnsi="Arial"/>
                <w:sz w:val="18"/>
                <w:szCs w:val="18"/>
                <w:color w:val="auto"/>
              </w:rPr>
              <w:t>Total current deferred tax assets</w:t>
            </w:r>
          </w:p>
        </w:tc>
        <w:tc>
          <w:tcPr>
            <w:tcW w:w="128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11,554</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8,173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4"/>
                <w:szCs w:val="24"/>
                <w:color w:val="auto"/>
              </w:rPr>
            </w:pPr>
          </w:p>
        </w:tc>
        <w:tc>
          <w:tcPr>
            <w:tcW w:w="4320" w:type="dxa"/>
            <w:vAlign w:val="bottom"/>
          </w:tcPr>
          <w:p>
            <w:pPr>
              <w:ind w:left="260"/>
              <w:spacing w:after="0"/>
              <w:rPr>
                <w:sz w:val="20"/>
                <w:szCs w:val="20"/>
                <w:color w:val="auto"/>
              </w:rPr>
            </w:pPr>
            <w:r>
              <w:rPr>
                <w:rFonts w:ascii="Arial" w:cs="Arial" w:eastAsia="Arial" w:hAnsi="Arial"/>
                <w:sz w:val="18"/>
                <w:szCs w:val="18"/>
                <w:color w:val="auto"/>
              </w:rPr>
              <w:t>Long-term deferred tax assets:</w:t>
            </w:r>
          </w:p>
        </w:tc>
        <w:tc>
          <w:tcPr>
            <w:tcW w:w="128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 w:type="dxa"/>
            <w:vAlign w:val="bottom"/>
          </w:tcPr>
          <w:p>
            <w:pPr>
              <w:spacing w:after="0"/>
              <w:rPr>
                <w:sz w:val="2"/>
                <w:szCs w:val="2"/>
                <w:color w:val="auto"/>
              </w:rPr>
            </w:pPr>
          </w:p>
        </w:tc>
        <w:tc>
          <w:tcPr>
            <w:tcW w:w="91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Borders>
              <w:bottom w:val="single" w:sz="8" w:color="CCEEFF"/>
            </w:tcBorders>
            <w:shd w:val="clear" w:color="auto" w:fill="CCEEFF"/>
          </w:tcPr>
          <w:p>
            <w:pPr>
              <w:spacing w:after="0"/>
              <w:rPr>
                <w:sz w:val="19"/>
                <w:szCs w:val="19"/>
                <w:color w:val="auto"/>
              </w:rPr>
            </w:pPr>
          </w:p>
        </w:tc>
        <w:tc>
          <w:tcPr>
            <w:tcW w:w="90" w:type="dxa"/>
            <w:vAlign w:val="bottom"/>
            <w:tcBorders>
              <w:bottom w:val="single" w:sz="8" w:color="CCEEFF"/>
            </w:tcBorders>
            <w:shd w:val="clear" w:color="auto" w:fill="CCEEFF"/>
          </w:tcPr>
          <w:p>
            <w:pPr>
              <w:spacing w:after="0"/>
              <w:rPr>
                <w:sz w:val="19"/>
                <w:szCs w:val="19"/>
                <w:color w:val="auto"/>
              </w:rPr>
            </w:pPr>
          </w:p>
        </w:tc>
        <w:tc>
          <w:tcPr>
            <w:tcW w:w="91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6,220</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20" w:type="dxa"/>
            <w:vAlign w:val="bottom"/>
          </w:tcPr>
          <w:p>
            <w:pPr>
              <w:ind w:left="260"/>
              <w:spacing w:after="0"/>
              <w:rPr>
                <w:sz w:val="20"/>
                <w:szCs w:val="20"/>
                <w:color w:val="auto"/>
              </w:rPr>
            </w:pPr>
            <w:r>
              <w:rPr>
                <w:rFonts w:ascii="Arial" w:cs="Arial" w:eastAsia="Arial" w:hAnsi="Arial"/>
                <w:sz w:val="18"/>
                <w:szCs w:val="18"/>
                <w:color w:val="auto"/>
              </w:rPr>
              <w:t>State net operating losses</w:t>
            </w:r>
          </w:p>
        </w:tc>
        <w:tc>
          <w:tcPr>
            <w:tcW w:w="128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1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4,773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91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 net operating losses</w:t>
            </w:r>
          </w:p>
        </w:tc>
        <w:tc>
          <w:tcPr>
            <w:tcW w:w="1280" w:type="dxa"/>
            <w:vAlign w:val="bottom"/>
            <w:tcBorders>
              <w:bottom w:val="single" w:sz="8" w:color="CCEEFF"/>
            </w:tcBorders>
            <w:shd w:val="clear" w:color="auto" w:fill="CCEEFF"/>
          </w:tcPr>
          <w:p>
            <w:pPr>
              <w:spacing w:after="0"/>
              <w:rPr>
                <w:sz w:val="19"/>
                <w:szCs w:val="19"/>
                <w:color w:val="auto"/>
              </w:rPr>
            </w:pPr>
          </w:p>
        </w:tc>
        <w:tc>
          <w:tcPr>
            <w:tcW w:w="90" w:type="dxa"/>
            <w:vAlign w:val="bottom"/>
            <w:tcBorders>
              <w:bottom w:val="single" w:sz="8" w:color="CCEEFF"/>
            </w:tcBorders>
            <w:shd w:val="clear" w:color="auto" w:fill="CCEEFF"/>
          </w:tcPr>
          <w:p>
            <w:pPr>
              <w:spacing w:after="0"/>
              <w:rPr>
                <w:sz w:val="19"/>
                <w:szCs w:val="19"/>
                <w:color w:val="auto"/>
              </w:rPr>
            </w:pPr>
          </w:p>
        </w:tc>
        <w:tc>
          <w:tcPr>
            <w:tcW w:w="91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20" w:type="dxa"/>
            <w:vAlign w:val="bottom"/>
          </w:tcPr>
          <w:p>
            <w:pPr>
              <w:ind w:left="260"/>
              <w:spacing w:after="0"/>
              <w:rPr>
                <w:sz w:val="20"/>
                <w:szCs w:val="20"/>
                <w:color w:val="auto"/>
              </w:rPr>
            </w:pPr>
            <w:r>
              <w:rPr>
                <w:rFonts w:ascii="Arial" w:cs="Arial" w:eastAsia="Arial" w:hAnsi="Arial"/>
                <w:sz w:val="18"/>
                <w:szCs w:val="18"/>
                <w:color w:val="auto"/>
              </w:rPr>
              <w:t>Capital loss carryforward</w:t>
            </w:r>
          </w:p>
        </w:tc>
        <w:tc>
          <w:tcPr>
            <w:tcW w:w="128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1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7,799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7,963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91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 Valuation allowances</w:t>
            </w:r>
          </w:p>
        </w:tc>
        <w:tc>
          <w:tcPr>
            <w:tcW w:w="1280" w:type="dxa"/>
            <w:vAlign w:val="bottom"/>
            <w:tcBorders>
              <w:bottom w:val="single" w:sz="8" w:color="CCEEFF"/>
            </w:tcBorders>
            <w:shd w:val="clear" w:color="auto" w:fill="CCEEFF"/>
          </w:tcPr>
          <w:p>
            <w:pPr>
              <w:spacing w:after="0"/>
              <w:rPr>
                <w:sz w:val="19"/>
                <w:szCs w:val="19"/>
                <w:color w:val="auto"/>
              </w:rPr>
            </w:pPr>
          </w:p>
        </w:tc>
        <w:tc>
          <w:tcPr>
            <w:tcW w:w="90" w:type="dxa"/>
            <w:vAlign w:val="bottom"/>
            <w:tcBorders>
              <w:bottom w:val="single" w:sz="8" w:color="CCEEFF"/>
            </w:tcBorders>
            <w:shd w:val="clear" w:color="auto" w:fill="CCEEFF"/>
          </w:tcPr>
          <w:p>
            <w:pPr>
              <w:spacing w:after="0"/>
              <w:rPr>
                <w:sz w:val="19"/>
                <w:szCs w:val="19"/>
                <w:color w:val="auto"/>
              </w:rPr>
            </w:pPr>
          </w:p>
        </w:tc>
        <w:tc>
          <w:tcPr>
            <w:tcW w:w="91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(15,813)</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(14,514)</w:t>
            </w:r>
          </w:p>
        </w:tc>
        <w:tc>
          <w:tcPr>
            <w:tcW w:w="0" w:type="dxa"/>
            <w:vAlign w:val="bottom"/>
          </w:tcPr>
          <w:p>
            <w:pPr>
              <w:spacing w:after="0"/>
              <w:rPr>
                <w:sz w:val="1"/>
                <w:szCs w:val="1"/>
                <w:color w:val="auto"/>
              </w:rPr>
            </w:pPr>
          </w:p>
        </w:tc>
      </w:tr>
      <w:tr>
        <w:trPr>
          <w:trHeight w:val="108"/>
        </w:trPr>
        <w:tc>
          <w:tcPr>
            <w:tcW w:w="5480" w:type="dxa"/>
            <w:vAlign w:val="bottom"/>
            <w:gridSpan w:val="2"/>
          </w:tcPr>
          <w:p>
            <w:pPr>
              <w:spacing w:after="0"/>
              <w:rPr>
                <w:sz w:val="9"/>
                <w:szCs w:val="9"/>
                <w:color w:val="auto"/>
              </w:rPr>
            </w:pPr>
          </w:p>
        </w:tc>
        <w:tc>
          <w:tcPr>
            <w:tcW w:w="1280" w:type="dxa"/>
            <w:vAlign w:val="bottom"/>
          </w:tcPr>
          <w:p>
            <w:pPr>
              <w:spacing w:after="0"/>
              <w:rPr>
                <w:sz w:val="9"/>
                <w:szCs w:val="9"/>
                <w:color w:val="auto"/>
              </w:rPr>
            </w:pPr>
          </w:p>
        </w:tc>
        <w:tc>
          <w:tcPr>
            <w:tcW w:w="90" w:type="dxa"/>
            <w:vAlign w:val="bottom"/>
          </w:tcPr>
          <w:p>
            <w:pPr>
              <w:spacing w:after="0"/>
              <w:rPr>
                <w:sz w:val="9"/>
                <w:szCs w:val="9"/>
                <w:color w:val="auto"/>
              </w:rPr>
            </w:pPr>
          </w:p>
        </w:tc>
        <w:tc>
          <w:tcPr>
            <w:tcW w:w="91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5480" w:type="dxa"/>
            <w:vAlign w:val="bottom"/>
            <w:gridSpan w:val="2"/>
          </w:tcPr>
          <w:p>
            <w:pPr>
              <w:ind w:left="1140"/>
              <w:spacing w:after="0"/>
              <w:rPr>
                <w:sz w:val="20"/>
                <w:szCs w:val="20"/>
                <w:color w:val="auto"/>
              </w:rPr>
            </w:pPr>
            <w:r>
              <w:rPr>
                <w:rFonts w:ascii="Arial" w:cs="Arial" w:eastAsia="Arial" w:hAnsi="Arial"/>
                <w:sz w:val="18"/>
                <w:szCs w:val="18"/>
                <w:color w:val="auto"/>
              </w:rPr>
              <w:t>Total long-term deferred tax assets</w:t>
            </w:r>
          </w:p>
        </w:tc>
        <w:tc>
          <w:tcPr>
            <w:tcW w:w="128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6,219</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480" w:type="dxa"/>
            <w:vAlign w:val="bottom"/>
            <w:gridSpan w:val="2"/>
          </w:tcPr>
          <w:p>
            <w:pPr>
              <w:ind w:left="1140"/>
              <w:spacing w:after="0"/>
              <w:rPr>
                <w:sz w:val="20"/>
                <w:szCs w:val="20"/>
                <w:color w:val="auto"/>
              </w:rPr>
            </w:pPr>
            <w:r>
              <w:rPr>
                <w:rFonts w:ascii="Arial" w:cs="Arial" w:eastAsia="Arial" w:hAnsi="Arial"/>
                <w:sz w:val="18"/>
                <w:szCs w:val="18"/>
                <w:color w:val="auto"/>
              </w:rPr>
              <w:t>Long-term deferred tax liability:</w:t>
            </w:r>
          </w:p>
        </w:tc>
        <w:tc>
          <w:tcPr>
            <w:tcW w:w="128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 w:type="dxa"/>
            <w:vAlign w:val="bottom"/>
          </w:tcPr>
          <w:p>
            <w:pPr>
              <w:spacing w:after="0"/>
              <w:rPr>
                <w:sz w:val="2"/>
                <w:szCs w:val="2"/>
                <w:color w:val="auto"/>
              </w:rPr>
            </w:pPr>
          </w:p>
        </w:tc>
        <w:tc>
          <w:tcPr>
            <w:tcW w:w="91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Capitalized software</w:t>
            </w:r>
          </w:p>
        </w:tc>
        <w:tc>
          <w:tcPr>
            <w:tcW w:w="1280" w:type="dxa"/>
            <w:vAlign w:val="bottom"/>
            <w:tcBorders>
              <w:bottom w:val="single" w:sz="8" w:color="CCEEFF"/>
            </w:tcBorders>
            <w:shd w:val="clear" w:color="auto" w:fill="CCEEFF"/>
          </w:tcPr>
          <w:p>
            <w:pPr>
              <w:spacing w:after="0"/>
              <w:rPr>
                <w:sz w:val="19"/>
                <w:szCs w:val="19"/>
                <w:color w:val="auto"/>
              </w:rPr>
            </w:pPr>
          </w:p>
        </w:tc>
        <w:tc>
          <w:tcPr>
            <w:tcW w:w="90" w:type="dxa"/>
            <w:vAlign w:val="bottom"/>
            <w:tcBorders>
              <w:bottom w:val="single" w:sz="8" w:color="CCEEFF"/>
            </w:tcBorders>
            <w:shd w:val="clear" w:color="auto" w:fill="CCEEFF"/>
          </w:tcPr>
          <w:p>
            <w:pPr>
              <w:spacing w:after="0"/>
              <w:rPr>
                <w:sz w:val="19"/>
                <w:szCs w:val="19"/>
                <w:color w:val="auto"/>
              </w:rPr>
            </w:pPr>
          </w:p>
        </w:tc>
        <w:tc>
          <w:tcPr>
            <w:tcW w:w="91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(5,233)</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(8,486)</w:t>
            </w:r>
          </w:p>
        </w:tc>
        <w:tc>
          <w:tcPr>
            <w:tcW w:w="0" w:type="dxa"/>
            <w:vAlign w:val="bottom"/>
          </w:tcPr>
          <w:p>
            <w:pPr>
              <w:spacing w:after="0"/>
              <w:rPr>
                <w:sz w:val="1"/>
                <w:szCs w:val="1"/>
                <w:color w:val="auto"/>
              </w:rPr>
            </w:pPr>
          </w:p>
        </w:tc>
      </w:tr>
      <w:tr>
        <w:trPr>
          <w:trHeight w:val="108"/>
        </w:trPr>
        <w:tc>
          <w:tcPr>
            <w:tcW w:w="5480" w:type="dxa"/>
            <w:vAlign w:val="bottom"/>
            <w:gridSpan w:val="2"/>
          </w:tcPr>
          <w:p>
            <w:pPr>
              <w:spacing w:after="0"/>
              <w:rPr>
                <w:sz w:val="9"/>
                <w:szCs w:val="9"/>
                <w:color w:val="auto"/>
              </w:rPr>
            </w:pPr>
          </w:p>
        </w:tc>
        <w:tc>
          <w:tcPr>
            <w:tcW w:w="1280" w:type="dxa"/>
            <w:vAlign w:val="bottom"/>
          </w:tcPr>
          <w:p>
            <w:pPr>
              <w:spacing w:after="0"/>
              <w:rPr>
                <w:sz w:val="9"/>
                <w:szCs w:val="9"/>
                <w:color w:val="auto"/>
              </w:rPr>
            </w:pPr>
          </w:p>
        </w:tc>
        <w:tc>
          <w:tcPr>
            <w:tcW w:w="90" w:type="dxa"/>
            <w:vAlign w:val="bottom"/>
          </w:tcPr>
          <w:p>
            <w:pPr>
              <w:spacing w:after="0"/>
              <w:rPr>
                <w:sz w:val="9"/>
                <w:szCs w:val="9"/>
                <w:color w:val="auto"/>
              </w:rPr>
            </w:pPr>
          </w:p>
        </w:tc>
        <w:tc>
          <w:tcPr>
            <w:tcW w:w="91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5480" w:type="dxa"/>
            <w:vAlign w:val="bottom"/>
            <w:gridSpan w:val="2"/>
          </w:tcPr>
          <w:p>
            <w:pPr>
              <w:ind w:left="1140"/>
              <w:spacing w:after="0"/>
              <w:rPr>
                <w:sz w:val="20"/>
                <w:szCs w:val="20"/>
                <w:color w:val="auto"/>
              </w:rPr>
            </w:pPr>
            <w:r>
              <w:rPr>
                <w:rFonts w:ascii="Arial" w:cs="Arial" w:eastAsia="Arial" w:hAnsi="Arial"/>
                <w:sz w:val="18"/>
                <w:szCs w:val="18"/>
                <w:color w:val="auto"/>
              </w:rPr>
              <w:t>Net deferred tax asset (liability)</w:t>
            </w:r>
          </w:p>
        </w:tc>
        <w:tc>
          <w:tcPr>
            <w:tcW w:w="128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12,540</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47"/>
        </w:trPr>
        <w:tc>
          <w:tcPr>
            <w:tcW w:w="11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91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4290695</wp:posOffset>
            </wp:positionH>
            <wp:positionV relativeFrom="paragraph">
              <wp:posOffset>-4130675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-4130675</wp:posOffset>
            </wp:positionV>
            <wp:extent cx="215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-4130675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-4130675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-4130675</wp:posOffset>
            </wp:positionV>
            <wp:extent cx="215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-4130675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-4130675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-4130675</wp:posOffset>
            </wp:positionV>
            <wp:extent cx="215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-4130675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215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-14605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-14605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-14605</wp:posOffset>
            </wp:positionV>
            <wp:extent cx="215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October 31, 2004, the Company had capital loss carryforwards totaling approximately $20,000. The capital loss carryforwards will expire in the periods fiscal 2006 through fiscal 2008. Management does not expect to generate sufficient taxable income from capital transactions prior to the expiration of these benefits, and accordingly a valuation allowance of $7,800 has been recorded for this asset as it is more likely than not that the deferred tax asset related to these carryforwards will not be realized. At October 31, 2004, the Company had foreign net operating losses of approximately $11,000 expiring between fiscal 2005 and fiscal 2010, and state net operating losses of approximately $62,000 expiring between fiscal 2021 and fiscal 2023. Management does not expect to generate sufficient certain state and foreign taxable income in future years to fully utilize the net operating losses carryforwards before expiration, accordingly valuation allowances have been recorded for these assets in the amounts of $4,773 and $3,240, respectively.</w:t>
      </w:r>
    </w:p>
    <w:p>
      <w:pPr>
        <w:spacing w:after="0" w:line="17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total amount of undistributed earnings of foreign subsidiaries was approximately $89,700 and $60,700 for the years ended October 31, 2004 and 2003, respectively. It is the Company’s intention to reinvest undistributed earnings of its foreign subsidiaries and thereby indefinitely postpone their remittance. Accordingly, no provision has been made for foreign withholding taxes or United States income taxes which may become payable if undistributed earnings of foreign subsidiaries are paid as dividends to the Company.</w:t>
      </w:r>
    </w:p>
    <w:p>
      <w:pPr>
        <w:sectPr>
          <w:pgSz w:w="11900" w:h="16838" w:orient="portrait"/>
          <w:cols w:equalWidth="0" w:num="1">
            <w:col w:w="11320"/>
          </w:cols>
          <w:pgMar w:left="240" w:top="131" w:right="339" w:bottom="630" w:gutter="0" w:footer="0" w:header="0"/>
        </w:sectPr>
      </w:pP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131" w:right="339" w:bottom="63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November 2003, at a special meeting, the Company’s stockholders voted to amend the certificate of incorporation to increase the Company’s authorized shares of common stock from 50,000,000 to 100,000,000 shares.</w:t>
      </w:r>
    </w:p>
    <w:p>
      <w:pPr>
        <w:spacing w:after="0" w:line="18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In January 2003, the Board of Directors authorized a stock repurchase program under which the Company may repurchase up to $25,000 of its common stock from time to time in the open market or in privately negotiated transactions. The Company has not repurchased any shares under this program.</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In February 2002, the Company issued 20,000 shares of restricted common stock to a former employee in connection with a separation agreement.</w:t>
      </w:r>
    </w:p>
    <w:p>
      <w:pPr>
        <w:spacing w:after="0" w:line="24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15.</w:t>
        <w:tab/>
        <w:t>ACCUMULATED OTHER COMPREHENSIVE INCOME (LOSS)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and changes in accumulated other comprehensive income (loss) 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Foreign Currency</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Net Unrealized</w:t>
            </w: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Gain (Loss) on</w:t>
            </w: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Adjustments</w:t>
            </w:r>
          </w:p>
        </w:tc>
        <w:tc>
          <w:tcPr>
            <w:tcW w:w="12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Investments</w:t>
            </w:r>
          </w:p>
        </w:tc>
        <w:tc>
          <w:tcPr>
            <w:tcW w:w="10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Income (Loss)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November 1, 2001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(10,608)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Comprehensive income (loss) changes during the year, net of taxes of $87</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5,553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5,411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7040" w:type="dxa"/>
            <w:vAlign w:val="bottom"/>
            <w:gridSpan w:val="2"/>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31, 2002</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(5,055)</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Comprehensive income (loss) changes during the year, net of taxes of $9</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4,119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7040" w:type="dxa"/>
            <w:vAlign w:val="bottom"/>
            <w:gridSpan w:val="2"/>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31, 2003</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(936)</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Comprehensive income changes during the year</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7,290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7,290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7040" w:type="dxa"/>
            <w:vAlign w:val="bottom"/>
            <w:gridSpan w:val="2"/>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31, 2004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-14605</wp:posOffset>
            </wp:positionV>
            <wp:extent cx="215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-14605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-14605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215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-14605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215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taxes in the above table relate to the changes in the net unrealized gain (loss) on investments. The foreign currency adjustments are not adjusted for income taxes as they relate to indefinite investments in non-U.S. subsidiaries.</w:t>
      </w:r>
    </w:p>
    <w:p>
      <w:pPr>
        <w:spacing w:after="0" w:line="180" w:lineRule="exact"/>
        <w:rPr>
          <w:sz w:val="20"/>
          <w:szCs w:val="20"/>
          <w:color w:val="auto"/>
        </w:rPr>
      </w:pPr>
    </w:p>
    <w:p>
      <w:pPr>
        <w:ind w:right="9080" w:firstLine="8"/>
        <w:spacing w:after="0" w:line="567" w:lineRule="auto"/>
        <w:tabs>
          <w:tab w:leader="none" w:pos="483"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STOCK-BASED PLANS Incentive Stock Plan</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Incentive Stock Plan (“Incentive Plan”) was adopted by the Board of Directors on June 12, 2003 and approved by stockholders in June 2004. The Incentive Plan provides for the grant of restricted stock, deferred stock and other stock-based awards of the Company’s common stock to directors, officers and other employees of the Company. A maximum of 1,000,000 shares are authorized for grant under the Incentive Plan. The cost of restricted shares granted is expensed on a straight-line basis over the vesting period, which ranges from 1 to 4 years. The Incentive Plan is administered by the Compensation Committee of the Board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Restricted shares granted under the plan and the weighted average fair value of the shares for the years ending October 31, 2004, 2003 and 2002 was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39"/>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39"/>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239"/>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160" w:type="dxa"/>
            <w:vAlign w:val="bottom"/>
            <w:vMerge w:val="restart"/>
          </w:tcPr>
          <w:p>
            <w:pPr>
              <w:spacing w:after="0"/>
              <w:rPr>
                <w:sz w:val="10"/>
                <w:szCs w:val="10"/>
                <w:color w:val="auto"/>
              </w:rPr>
            </w:pPr>
          </w:p>
        </w:tc>
        <w:tc>
          <w:tcPr>
            <w:tcW w:w="36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common stock (in thousands)</w:t>
            </w:r>
          </w:p>
        </w:tc>
        <w:tc>
          <w:tcPr>
            <w:tcW w:w="1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Weighted average share price</w:t>
            </w:r>
          </w:p>
        </w:tc>
        <w:tc>
          <w:tcPr>
            <w:tcW w:w="2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31.22</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23.11</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21.00</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60" w:type="dxa"/>
            <w:vAlign w:val="bottom"/>
          </w:tcPr>
          <w:p>
            <w:pPr>
              <w:jc w:val="right"/>
              <w:ind w:right="872"/>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231"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In June 2002, the stockholders of the Company approved the Company’s 2002 Stock Option Plan, as previously adopted by the Company’s Board of Directors (the “2002 Plan”), pursuant to which officers, directors, employees and consultants of the Company may receive stock options to purchase shares of Common Stock. In June 2004, the stockholders approved an increase in the aggregate amount of shares to 6,000,000 shares from 3,000,000 shares.</w:t>
      </w:r>
    </w:p>
    <w:p>
      <w:pPr>
        <w:spacing w:after="0" w:line="16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January 1997, the stockholders of the Company approved the Company’s 1997 Stock Option Plan, as amended, as previously adopted by the Company’s Board of Directors (the “1997 Plan”), pursuant to which officers, directors, employees and consultants of the Company may receive options to purchase up to an aggregate of 6,500,000 shares of the Company’s Common Stock. As of April 30, 2002, there are no options available for grant under the 1997 Plan.</w:t>
      </w:r>
    </w:p>
    <w:p>
      <w:pPr>
        <w:spacing w:after="0" w:line="16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Subject to the provisions of the plans, the Board of Directors or any Committee appointed by the Board of Directors, has the authority to determine the individuals to whom the stock options are to be granted, the number of shares to be covered by each option, the option price, the type of option, the option period, restrictions, if any, on the exercise of the option, the terms for the payment of the option price and other terms and conditions.</w:t>
      </w:r>
    </w:p>
    <w:p>
      <w:pPr>
        <w:spacing w:after="0" w:line="16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As of October 31, 2004 and 2003, the plans had outstanding stock options for an aggregate of 3,651,000 and 3,066,000 shares of the Company’s Common Stock, respectively, vesting at various times from 1998 to 2008 and expiring at various times from 2002 to 2009. Options granted generally vest over a period of three to five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Non-Plan Stock Options</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of October 31, 2004 and 2003, there are non-plan stock options outstanding for an aggregate of 1,512,000 and 1,503,000 shares of the Company’s Common Stock, respectively, vesting from 1999 to 2007 and expiring at various times from 2003 to 2009.</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those options with exercise prices less than fair value of the underlying shares at the measurement date, the difference is recorded as deferred compensation and is amortized on a straight-line basis over the vesting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options under the plans inclusive of non-plan options: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4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right="60"/>
              <w:spacing w:after="0"/>
              <w:rPr>
                <w:sz w:val="20"/>
                <w:szCs w:val="20"/>
                <w:color w:val="auto"/>
              </w:rPr>
            </w:pPr>
            <w:r>
              <w:rPr>
                <w:rFonts w:ascii="Arial" w:cs="Arial" w:eastAsia="Arial" w:hAnsi="Arial"/>
                <w:sz w:val="14"/>
                <w:szCs w:val="14"/>
                <w:b w:val="1"/>
                <w:bCs w:val="1"/>
                <w:color w:val="auto"/>
                <w:w w:val="88"/>
              </w:rPr>
              <w:t>Weighted</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Weighted</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Average</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14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Exercise</w:t>
            </w:r>
          </w:p>
        </w:tc>
        <w:tc>
          <w:tcPr>
            <w:tcW w:w="14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40"/>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5"/>
                <w:szCs w:val="15"/>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Price</w:t>
            </w: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7"/>
              </w:rPr>
              <w:t>Options outstanding at November</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2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5,695</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60"/>
              <w:spacing w:after="0"/>
              <w:rPr>
                <w:sz w:val="20"/>
                <w:szCs w:val="20"/>
                <w:color w:val="auto"/>
              </w:rPr>
            </w:pPr>
            <w:r>
              <w:rPr>
                <w:rFonts w:ascii="Arial" w:cs="Arial" w:eastAsia="Arial" w:hAnsi="Arial"/>
                <w:sz w:val="18"/>
                <w:szCs w:val="18"/>
                <w:color w:val="auto"/>
              </w:rPr>
              <w:t>Granted-exercise price equal to</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140"/>
              <w:spacing w:after="0"/>
              <w:rPr>
                <w:sz w:val="20"/>
                <w:szCs w:val="20"/>
                <w:color w:val="auto"/>
              </w:rPr>
            </w:pPr>
            <w:r>
              <w:rPr>
                <w:rFonts w:ascii="Arial" w:cs="Arial" w:eastAsia="Arial" w:hAnsi="Arial"/>
                <w:sz w:val="18"/>
                <w:szCs w:val="18"/>
                <w:color w:val="auto"/>
              </w:rPr>
              <w:t>fair value</w:t>
            </w:r>
          </w:p>
        </w:tc>
        <w:tc>
          <w:tcPr>
            <w:tcW w:w="1260" w:type="dxa"/>
            <w:vAlign w:val="bottom"/>
          </w:tcPr>
          <w:p>
            <w:pPr>
              <w:jc w:val="right"/>
              <w:spacing w:after="0"/>
              <w:rPr>
                <w:sz w:val="20"/>
                <w:szCs w:val="20"/>
                <w:color w:val="auto"/>
              </w:rPr>
            </w:pPr>
            <w:r>
              <w:rPr>
                <w:rFonts w:ascii="Arial" w:cs="Arial" w:eastAsia="Arial" w:hAnsi="Arial"/>
                <w:sz w:val="18"/>
                <w:szCs w:val="18"/>
                <w:color w:val="auto"/>
              </w:rPr>
              <w:t>1,954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31.71</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2,442</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25.26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Granted-exercise price less than</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60"/>
              <w:spacing w:after="0"/>
              <w:rPr>
                <w:sz w:val="20"/>
                <w:szCs w:val="20"/>
                <w:color w:val="auto"/>
              </w:rPr>
            </w:pPr>
            <w:r>
              <w:rPr>
                <w:rFonts w:ascii="Arial" w:cs="Arial" w:eastAsia="Arial" w:hAnsi="Arial"/>
                <w:sz w:val="18"/>
                <w:szCs w:val="18"/>
                <w:color w:val="auto"/>
              </w:rPr>
              <w:t>Exercised</w:t>
            </w: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20.84</w:t>
            </w:r>
          </w:p>
        </w:tc>
        <w:tc>
          <w:tcPr>
            <w:tcW w:w="16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(3,438)</w:t>
            </w:r>
          </w:p>
        </w:tc>
        <w:tc>
          <w:tcPr>
            <w:tcW w:w="260" w:type="dxa"/>
            <w:vAlign w:val="bottom"/>
          </w:tcPr>
          <w:p>
            <w:pPr>
              <w:spacing w:after="0"/>
              <w:rPr>
                <w:sz w:val="19"/>
                <w:szCs w:val="19"/>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13.53</w:t>
            </w: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(2,494)</w:t>
            </w:r>
          </w:p>
        </w:tc>
        <w:tc>
          <w:tcPr>
            <w:tcW w:w="10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10.43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Forfeited</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17.13</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2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660" w:type="dxa"/>
            <w:vAlign w:val="bottom"/>
            <w:gridSpan w:val="2"/>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gridSpan w:val="2"/>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660" w:type="dxa"/>
            <w:vAlign w:val="bottom"/>
            <w:gridSpan w:val="2"/>
          </w:tcPr>
          <w:p>
            <w:pPr>
              <w:spacing w:after="0"/>
              <w:rPr>
                <w:sz w:val="20"/>
                <w:szCs w:val="20"/>
                <w:color w:val="auto"/>
              </w:rPr>
            </w:pPr>
            <w:r>
              <w:rPr>
                <w:rFonts w:ascii="Arial" w:cs="Arial" w:eastAsia="Arial" w:hAnsi="Arial"/>
                <w:sz w:val="18"/>
                <w:szCs w:val="18"/>
                <w:color w:val="auto"/>
                <w:w w:val="96"/>
              </w:rPr>
              <w:t>Options outstanding at October 31</w:t>
            </w:r>
          </w:p>
        </w:tc>
        <w:tc>
          <w:tcPr>
            <w:tcW w:w="1260" w:type="dxa"/>
            <w:vAlign w:val="bottom"/>
          </w:tcPr>
          <w:p>
            <w:pPr>
              <w:jc w:val="right"/>
              <w:spacing w:after="0"/>
              <w:rPr>
                <w:sz w:val="20"/>
                <w:szCs w:val="20"/>
                <w:color w:val="auto"/>
              </w:rPr>
            </w:pPr>
            <w:r>
              <w:rPr>
                <w:rFonts w:ascii="Arial" w:cs="Arial" w:eastAsia="Arial" w:hAnsi="Arial"/>
                <w:sz w:val="18"/>
                <w:szCs w:val="18"/>
                <w:color w:val="auto"/>
              </w:rPr>
              <w:t>5,163</w:t>
            </w:r>
          </w:p>
        </w:tc>
        <w:tc>
          <w:tcPr>
            <w:tcW w:w="200" w:type="dxa"/>
            <w:vAlign w:val="bottom"/>
          </w:tcPr>
          <w:p>
            <w:pPr>
              <w:spacing w:after="0"/>
              <w:rPr>
                <w:sz w:val="24"/>
                <w:szCs w:val="2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23.85</w:t>
            </w:r>
          </w:p>
        </w:tc>
        <w:tc>
          <w:tcPr>
            <w:tcW w:w="1680" w:type="dxa"/>
            <w:vAlign w:val="bottom"/>
            <w:gridSpan w:val="3"/>
          </w:tcPr>
          <w:p>
            <w:pPr>
              <w:jc w:val="right"/>
              <w:ind w:right="220"/>
              <w:spacing w:after="0"/>
              <w:rPr>
                <w:sz w:val="20"/>
                <w:szCs w:val="20"/>
                <w:color w:val="auto"/>
              </w:rPr>
            </w:pPr>
            <w:r>
              <w:rPr>
                <w:rFonts w:ascii="Arial" w:cs="Arial" w:eastAsia="Arial" w:hAnsi="Arial"/>
                <w:sz w:val="18"/>
                <w:szCs w:val="18"/>
                <w:color w:val="auto"/>
              </w:rPr>
              <w:t>4,569</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20.23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5,695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13.96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660" w:type="dxa"/>
            <w:vAlign w:val="bottom"/>
            <w:gridSpan w:val="2"/>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gridSpan w:val="2"/>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5"/>
        </w:trPr>
        <w:tc>
          <w:tcPr>
            <w:tcW w:w="2660" w:type="dxa"/>
            <w:vAlign w:val="bottom"/>
            <w:gridSpan w:val="2"/>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spacing w:after="0"/>
              <w:rPr>
                <w:sz w:val="24"/>
                <w:szCs w:val="24"/>
                <w:color w:val="auto"/>
              </w:rPr>
            </w:pPr>
          </w:p>
        </w:tc>
        <w:tc>
          <w:tcPr>
            <w:tcW w:w="14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6"/>
              </w:rPr>
              <w:t>Options exercisable at October 31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2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1,389</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2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gridSpan w:val="2"/>
          </w:tcPr>
          <w:p>
            <w:pPr>
              <w:jc w:val="right"/>
              <w:ind w:right="946"/>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1692275</wp:posOffset>
            </wp:positionH>
            <wp:positionV relativeFrom="paragraph">
              <wp:posOffset>-511810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-511810</wp:posOffset>
            </wp:positionV>
            <wp:extent cx="215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-511810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-511810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-511810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-511810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-511810</wp:posOffset>
            </wp:positionV>
            <wp:extent cx="2159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-511810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-511810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-511810</wp:posOffset>
            </wp:positionV>
            <wp:extent cx="2159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-511810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-511810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-511810</wp:posOffset>
            </wp:positionV>
            <wp:extent cx="215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-511810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-511810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-511810</wp:posOffset>
            </wp:positionV>
            <wp:extent cx="215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-511810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information about stock options outstanding and exercisable at October 31, 2004:</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Options Outstanding</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Options Exercisable</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Average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Average</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Weighted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Weighted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178"/>
              <w:spacing w:after="0" w:line="149" w:lineRule="exact"/>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Exercise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Life</w:t>
            </w:r>
          </w:p>
        </w:tc>
        <w:tc>
          <w:tcPr>
            <w:tcW w:w="260" w:type="dxa"/>
            <w:vAlign w:val="bottom"/>
          </w:tcPr>
          <w:p>
            <w:pPr>
              <w:spacing w:after="0"/>
              <w:rPr>
                <w:sz w:val="12"/>
                <w:szCs w:val="12"/>
                <w:color w:val="auto"/>
              </w:rPr>
            </w:pPr>
          </w:p>
        </w:tc>
        <w:tc>
          <w:tcPr>
            <w:tcW w:w="90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Exercise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Life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260" w:type="dxa"/>
            <w:vAlign w:val="bottom"/>
            <w:gridSpan w:val="3"/>
          </w:tcPr>
          <w:p>
            <w:pPr>
              <w:spacing w:after="0"/>
              <w:rPr>
                <w:sz w:val="20"/>
                <w:szCs w:val="20"/>
                <w:color w:val="auto"/>
              </w:rPr>
            </w:pPr>
            <w:r>
              <w:rPr>
                <w:rFonts w:ascii="Arial" w:cs="Arial" w:eastAsia="Arial" w:hAnsi="Arial"/>
                <w:sz w:val="14"/>
                <w:szCs w:val="14"/>
                <w:b w:val="1"/>
                <w:bCs w:val="1"/>
                <w:color w:val="auto"/>
              </w:rPr>
              <w:t>Range of Exercise Prices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7"/>
              </w:rPr>
              <w:t>(in thousands)</w:t>
            </w:r>
          </w:p>
        </w:tc>
        <w:tc>
          <w:tcPr>
            <w:tcW w:w="2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7"/>
              </w:rPr>
              <w:t>(in thousands)</w:t>
            </w:r>
          </w:p>
        </w:tc>
        <w:tc>
          <w:tcPr>
            <w:tcW w:w="2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6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60" w:type="dxa"/>
            <w:vAlign w:val="bottom"/>
            <w:gridSpan w:val="2"/>
          </w:tcPr>
          <w:p>
            <w:pPr>
              <w:spacing w:after="0"/>
              <w:rPr>
                <w:sz w:val="8"/>
                <w:szCs w:val="8"/>
                <w:color w:val="auto"/>
              </w:rPr>
            </w:pPr>
          </w:p>
        </w:tc>
        <w:tc>
          <w:tcPr>
            <w:tcW w:w="116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$5.50 – $13.91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$14.86 – $19.55</w:t>
            </w:r>
          </w:p>
        </w:tc>
        <w:tc>
          <w:tcPr>
            <w:tcW w:w="900" w:type="dxa"/>
            <w:vAlign w:val="bottom"/>
          </w:tcPr>
          <w:p>
            <w:pPr>
              <w:jc w:val="right"/>
              <w:spacing w:after="0"/>
              <w:rPr>
                <w:sz w:val="20"/>
                <w:szCs w:val="20"/>
                <w:color w:val="auto"/>
              </w:rPr>
            </w:pPr>
            <w:r>
              <w:rPr>
                <w:rFonts w:ascii="Arial" w:cs="Arial" w:eastAsia="Arial" w:hAnsi="Arial"/>
                <w:sz w:val="18"/>
                <w:szCs w:val="18"/>
                <w:color w:val="auto"/>
              </w:rPr>
              <w:t>1,091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18.23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797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18.10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2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$20.10 – $26.88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$27.60 – $38.97</w:t>
            </w:r>
          </w:p>
        </w:tc>
        <w:tc>
          <w:tcPr>
            <w:tcW w:w="900" w:type="dxa"/>
            <w:vAlign w:val="bottom"/>
          </w:tcPr>
          <w:p>
            <w:pPr>
              <w:jc w:val="right"/>
              <w:spacing w:after="0"/>
              <w:rPr>
                <w:sz w:val="20"/>
                <w:szCs w:val="20"/>
                <w:color w:val="auto"/>
              </w:rPr>
            </w:pPr>
            <w:r>
              <w:rPr>
                <w:rFonts w:ascii="Arial" w:cs="Arial" w:eastAsia="Arial" w:hAnsi="Arial"/>
                <w:sz w:val="18"/>
                <w:szCs w:val="18"/>
                <w:color w:val="auto"/>
              </w:rPr>
              <w:t>2,362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31.30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31.43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16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16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60" w:type="dxa"/>
            <w:vAlign w:val="bottom"/>
            <w:gridSpan w:val="2"/>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60" w:type="dxa"/>
            <w:vAlign w:val="bottom"/>
            <w:gridSpan w:val="2"/>
          </w:tcPr>
          <w:p>
            <w:pPr>
              <w:spacing w:after="0"/>
              <w:rPr>
                <w:sz w:val="10"/>
                <w:szCs w:val="10"/>
                <w:color w:val="auto"/>
              </w:rPr>
            </w:pPr>
          </w:p>
        </w:tc>
        <w:tc>
          <w:tcPr>
            <w:tcW w:w="1160" w:type="dxa"/>
            <w:vAlign w:val="bottom"/>
            <w:gridSpan w:val="2"/>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2721610</wp:posOffset>
            </wp:positionH>
            <wp:positionV relativeFrom="paragraph">
              <wp:posOffset>-14605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-14605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-14605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-14605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for all stock-based plans for the years ended October 31, 2004, 2003 and 2002 is $3,331, $3,445 and $3,053, respectively.</w:t>
      </w:r>
    </w:p>
    <w:p>
      <w:pPr>
        <w:spacing w:after="0" w:line="242"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RESULTS BY QUARTER (UNAUDITED)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quarterly supplementary data for each of the years in the two-year period ended October 31, 2004.</w:t>
      </w:r>
    </w:p>
    <w:p>
      <w:pPr>
        <w:spacing w:after="0" w:line="86" w:lineRule="exact"/>
        <w:rPr>
          <w:sz w:val="20"/>
          <w:szCs w:val="20"/>
          <w:color w:val="auto"/>
        </w:rPr>
      </w:pPr>
    </w:p>
    <w:tbl>
      <w:tblPr>
        <w:tblLayout w:type="fixed"/>
        <w:tblInd w:w="1140" w:type="dxa"/>
        <w:tblCellMar>
          <w:top w:w="0" w:type="dxa"/>
          <w:left w:w="0" w:type="dxa"/>
          <w:bottom w:w="0" w:type="dxa"/>
          <w:right w:w="0" w:type="dxa"/>
        </w:tblCellMar>
      </w:tblPr>
      <w:tr>
        <w:trPr>
          <w:trHeight w:val="310"/>
        </w:trPr>
        <w:tc>
          <w:tcPr>
            <w:tcW w:w="20" w:type="dxa"/>
            <w:vAlign w:val="bottom"/>
          </w:tcPr>
          <w:p>
            <w:pPr>
              <w:spacing w:after="0"/>
              <w:rPr>
                <w:sz w:val="24"/>
                <w:szCs w:val="24"/>
                <w:color w:val="auto"/>
              </w:rPr>
            </w:pPr>
          </w:p>
        </w:tc>
        <w:tc>
          <w:tcPr>
            <w:tcW w:w="3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w w:val="79"/>
              </w:rPr>
              <w:t>2004</w:t>
            </w:r>
          </w:p>
        </w:tc>
        <w:tc>
          <w:tcPr>
            <w:tcW w:w="25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7"/>
              <w:spacing w:after="0"/>
              <w:rPr>
                <w:sz w:val="20"/>
                <w:szCs w:val="20"/>
                <w:color w:val="auto"/>
              </w:rPr>
            </w:pPr>
            <w:r>
              <w:rPr>
                <w:rFonts w:ascii="Arial" w:cs="Arial" w:eastAsia="Arial" w:hAnsi="Arial"/>
                <w:sz w:val="27"/>
                <w:szCs w:val="27"/>
                <w:b w:val="1"/>
                <w:bCs w:val="1"/>
                <w:color w:val="auto"/>
                <w:vertAlign w:val="subscript"/>
              </w:rPr>
              <w:t>1</w:t>
            </w:r>
            <w:r>
              <w:rPr>
                <w:rFonts w:ascii="Arial" w:cs="Arial" w:eastAsia="Arial" w:hAnsi="Arial"/>
                <w:sz w:val="11"/>
                <w:szCs w:val="11"/>
                <w:b w:val="1"/>
                <w:bCs w:val="1"/>
                <w:color w:val="auto"/>
              </w:rPr>
              <w:t>st</w:t>
            </w: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27"/>
                <w:szCs w:val="27"/>
                <w:b w:val="1"/>
                <w:bCs w:val="1"/>
                <w:color w:val="auto"/>
                <w:vertAlign w:val="subscript"/>
              </w:rPr>
              <w:t>2</w:t>
            </w:r>
            <w:r>
              <w:rPr>
                <w:rFonts w:ascii="Arial" w:cs="Arial" w:eastAsia="Arial" w:hAnsi="Arial"/>
                <w:sz w:val="11"/>
                <w:szCs w:val="11"/>
                <w:b w:val="1"/>
                <w:bCs w:val="1"/>
                <w:color w:val="auto"/>
              </w:rPr>
              <w:t>nd</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27"/>
                <w:szCs w:val="27"/>
                <w:b w:val="1"/>
                <w:bCs w:val="1"/>
                <w:color w:val="auto"/>
                <w:vertAlign w:val="subscript"/>
              </w:rPr>
              <w:t>3</w:t>
            </w:r>
            <w:r>
              <w:rPr>
                <w:rFonts w:ascii="Arial" w:cs="Arial" w:eastAsia="Arial" w:hAnsi="Arial"/>
                <w:sz w:val="11"/>
                <w:szCs w:val="11"/>
                <w:b w:val="1"/>
                <w:bCs w:val="1"/>
                <w:color w:val="auto"/>
              </w:rPr>
              <w:t>rd</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27"/>
                <w:szCs w:val="27"/>
                <w:b w:val="1"/>
                <w:bCs w:val="1"/>
                <w:color w:val="auto"/>
                <w:w w:val="88"/>
                <w:vertAlign w:val="subscript"/>
              </w:rPr>
              <w:t>4</w:t>
            </w:r>
            <w:r>
              <w:rPr>
                <w:rFonts w:ascii="Arial" w:cs="Arial" w:eastAsia="Arial" w:hAnsi="Arial"/>
                <w:sz w:val="11"/>
                <w:szCs w:val="11"/>
                <w:b w:val="1"/>
                <w:bCs w:val="1"/>
                <w:color w:val="auto"/>
                <w:w w:val="88"/>
              </w:rPr>
              <w:t>th</w:t>
            </w:r>
          </w:p>
        </w:tc>
        <w:tc>
          <w:tcPr>
            <w:tcW w:w="0" w:type="dxa"/>
            <w:vAlign w:val="bottom"/>
          </w:tcPr>
          <w:p>
            <w:pPr>
              <w:spacing w:after="0"/>
              <w:rPr>
                <w:sz w:val="1"/>
                <w:szCs w:val="1"/>
                <w:color w:val="auto"/>
              </w:rPr>
            </w:pPr>
          </w:p>
        </w:tc>
      </w:tr>
      <w:tr>
        <w:trPr>
          <w:trHeight w:val="141"/>
        </w:trPr>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vMerge w:val="continue"/>
            <w:shd w:val="clear" w:color="auto" w:fill="CCEEFF"/>
          </w:tcPr>
          <w:p>
            <w:pPr>
              <w:spacing w:after="0"/>
              <w:rPr>
                <w:sz w:val="12"/>
                <w:szCs w:val="12"/>
                <w:color w:val="auto"/>
              </w:rPr>
            </w:pPr>
          </w:p>
        </w:tc>
        <w:tc>
          <w:tcPr>
            <w:tcW w:w="250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137"/>
              <w:spacing w:after="0" w:line="114" w:lineRule="exact"/>
              <w:rPr>
                <w:sz w:val="20"/>
                <w:szCs w:val="20"/>
                <w:color w:val="auto"/>
              </w:rPr>
            </w:pPr>
            <w:r>
              <w:rPr>
                <w:rFonts w:ascii="Arial" w:cs="Arial" w:eastAsia="Arial" w:hAnsi="Arial"/>
                <w:sz w:val="12"/>
                <w:szCs w:val="12"/>
                <w:b w:val="1"/>
                <w:bCs w:val="1"/>
                <w:color w:val="auto"/>
              </w:rPr>
              <w:t>Quarter</w:t>
            </w: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340"/>
              <w:spacing w:after="0" w:line="114" w:lineRule="exact"/>
              <w:rPr>
                <w:sz w:val="20"/>
                <w:szCs w:val="20"/>
                <w:color w:val="auto"/>
              </w:rPr>
            </w:pPr>
            <w:r>
              <w:rPr>
                <w:rFonts w:ascii="Arial" w:cs="Arial" w:eastAsia="Arial" w:hAnsi="Arial"/>
                <w:sz w:val="12"/>
                <w:szCs w:val="12"/>
                <w:b w:val="1"/>
                <w:bCs w:val="1"/>
                <w:color w:val="auto"/>
              </w:rPr>
              <w:t>Quarter</w:t>
            </w:r>
          </w:p>
        </w:tc>
        <w:tc>
          <w:tcPr>
            <w:tcW w:w="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400"/>
              <w:spacing w:after="0" w:line="114" w:lineRule="exact"/>
              <w:rPr>
                <w:sz w:val="20"/>
                <w:szCs w:val="20"/>
                <w:color w:val="auto"/>
              </w:rPr>
            </w:pPr>
            <w:r>
              <w:rPr>
                <w:rFonts w:ascii="Arial" w:cs="Arial" w:eastAsia="Arial" w:hAnsi="Arial"/>
                <w:sz w:val="12"/>
                <w:szCs w:val="12"/>
                <w:b w:val="1"/>
                <w:bCs w:val="1"/>
                <w:color w:val="auto"/>
              </w:rPr>
              <w:t>Quarter</w:t>
            </w:r>
          </w:p>
        </w:tc>
        <w:tc>
          <w:tcPr>
            <w:tcW w:w="1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center"/>
              <w:ind w:right="280"/>
              <w:spacing w:after="0" w:line="114" w:lineRule="exact"/>
              <w:rPr>
                <w:sz w:val="20"/>
                <w:szCs w:val="20"/>
                <w:color w:val="auto"/>
              </w:rPr>
            </w:pPr>
            <w:r>
              <w:rPr>
                <w:rFonts w:ascii="Arial" w:cs="Arial" w:eastAsia="Arial" w:hAnsi="Arial"/>
                <w:sz w:val="12"/>
                <w:szCs w:val="12"/>
                <w:b w:val="1"/>
                <w:bCs w:val="1"/>
                <w:color w:val="auto"/>
              </w:rPr>
              <w:t>Quarter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top w:val="single" w:sz="8" w:color="CCEEFF"/>
            </w:tcBorders>
          </w:tcPr>
          <w:p>
            <w:pPr>
              <w:spacing w:after="0"/>
              <w:rPr>
                <w:sz w:val="9"/>
                <w:szCs w:val="9"/>
                <w:color w:val="auto"/>
              </w:rPr>
            </w:pPr>
          </w:p>
        </w:tc>
        <w:tc>
          <w:tcPr>
            <w:tcW w:w="2500" w:type="dxa"/>
            <w:vAlign w:val="bottom"/>
            <w:tcBorders>
              <w:top w:val="single" w:sz="8" w:color="CCEEFF"/>
            </w:tcBorders>
          </w:tcPr>
          <w:p>
            <w:pPr>
              <w:spacing w:after="0"/>
              <w:rPr>
                <w:sz w:val="9"/>
                <w:szCs w:val="9"/>
                <w:color w:val="auto"/>
              </w:rPr>
            </w:pPr>
          </w:p>
        </w:tc>
        <w:tc>
          <w:tcPr>
            <w:tcW w:w="1580" w:type="dxa"/>
            <w:vAlign w:val="bottom"/>
            <w:tcBorders>
              <w:top w:val="single" w:sz="8" w:color="CCEEFF"/>
            </w:tcBorders>
          </w:tcPr>
          <w:p>
            <w:pPr>
              <w:spacing w:after="0"/>
              <w:rPr>
                <w:sz w:val="9"/>
                <w:szCs w:val="9"/>
                <w:color w:val="auto"/>
              </w:rPr>
            </w:pPr>
          </w:p>
        </w:tc>
        <w:tc>
          <w:tcPr>
            <w:tcW w:w="200" w:type="dxa"/>
            <w:vAlign w:val="bottom"/>
            <w:tcBorders>
              <w:top w:val="single" w:sz="8" w:color="CCEEFF"/>
              <w:bottom w:val="single" w:sz="8" w:color="808080"/>
            </w:tcBorders>
          </w:tcPr>
          <w:p>
            <w:pPr>
              <w:spacing w:after="0"/>
              <w:rPr>
                <w:sz w:val="9"/>
                <w:szCs w:val="9"/>
                <w:color w:val="auto"/>
              </w:rPr>
            </w:pPr>
          </w:p>
        </w:tc>
        <w:tc>
          <w:tcPr>
            <w:tcW w:w="800" w:type="dxa"/>
            <w:vAlign w:val="bottom"/>
            <w:tcBorders>
              <w:top w:val="single" w:sz="8" w:color="CCEEFF"/>
              <w:bottom w:val="single" w:sz="8" w:color="808080"/>
            </w:tcBorders>
          </w:tcPr>
          <w:p>
            <w:pPr>
              <w:spacing w:after="0"/>
              <w:rPr>
                <w:sz w:val="9"/>
                <w:szCs w:val="9"/>
                <w:color w:val="auto"/>
              </w:rPr>
            </w:pPr>
          </w:p>
        </w:tc>
        <w:tc>
          <w:tcPr>
            <w:tcW w:w="180" w:type="dxa"/>
            <w:vAlign w:val="bottom"/>
            <w:tcBorders>
              <w:top w:val="single" w:sz="8" w:color="CCEEFF"/>
            </w:tcBorders>
          </w:tcPr>
          <w:p>
            <w:pPr>
              <w:spacing w:after="0"/>
              <w:rPr>
                <w:sz w:val="9"/>
                <w:szCs w:val="9"/>
                <w:color w:val="auto"/>
              </w:rPr>
            </w:pPr>
          </w:p>
        </w:tc>
        <w:tc>
          <w:tcPr>
            <w:tcW w:w="200" w:type="dxa"/>
            <w:vAlign w:val="bottom"/>
            <w:tcBorders>
              <w:top w:val="single" w:sz="8" w:color="CCEEFF"/>
              <w:bottom w:val="single" w:sz="8" w:color="808080"/>
            </w:tcBorders>
          </w:tcPr>
          <w:p>
            <w:pPr>
              <w:spacing w:after="0"/>
              <w:rPr>
                <w:sz w:val="9"/>
                <w:szCs w:val="9"/>
                <w:color w:val="auto"/>
              </w:rPr>
            </w:pPr>
          </w:p>
        </w:tc>
        <w:tc>
          <w:tcPr>
            <w:tcW w:w="800" w:type="dxa"/>
            <w:vAlign w:val="bottom"/>
            <w:tcBorders>
              <w:top w:val="single" w:sz="8" w:color="CCEEFF"/>
              <w:bottom w:val="single" w:sz="8" w:color="808080"/>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200" w:type="dxa"/>
            <w:vAlign w:val="bottom"/>
            <w:tcBorders>
              <w:top w:val="single" w:sz="8" w:color="CCEEFF"/>
              <w:bottom w:val="single" w:sz="8" w:color="808080"/>
            </w:tcBorders>
          </w:tcPr>
          <w:p>
            <w:pPr>
              <w:spacing w:after="0"/>
              <w:rPr>
                <w:sz w:val="9"/>
                <w:szCs w:val="9"/>
                <w:color w:val="auto"/>
              </w:rPr>
            </w:pPr>
          </w:p>
        </w:tc>
        <w:tc>
          <w:tcPr>
            <w:tcW w:w="800" w:type="dxa"/>
            <w:vAlign w:val="bottom"/>
            <w:tcBorders>
              <w:top w:val="single" w:sz="8" w:color="CCEEFF"/>
              <w:bottom w:val="single" w:sz="8" w:color="808080"/>
            </w:tcBorders>
          </w:tcPr>
          <w:p>
            <w:pPr>
              <w:spacing w:after="0"/>
              <w:rPr>
                <w:sz w:val="9"/>
                <w:szCs w:val="9"/>
                <w:color w:val="auto"/>
              </w:rPr>
            </w:pPr>
          </w:p>
        </w:tc>
        <w:tc>
          <w:tcPr>
            <w:tcW w:w="180" w:type="dxa"/>
            <w:vAlign w:val="bottom"/>
            <w:tcBorders>
              <w:top w:val="single" w:sz="8" w:color="CCEEFF"/>
            </w:tcBorders>
          </w:tcPr>
          <w:p>
            <w:pPr>
              <w:spacing w:after="0"/>
              <w:rPr>
                <w:sz w:val="9"/>
                <w:szCs w:val="9"/>
                <w:color w:val="auto"/>
              </w:rPr>
            </w:pPr>
          </w:p>
        </w:tc>
        <w:tc>
          <w:tcPr>
            <w:tcW w:w="180" w:type="dxa"/>
            <w:vAlign w:val="bottom"/>
            <w:tcBorders>
              <w:top w:val="single" w:sz="8" w:color="CCEEFF"/>
              <w:bottom w:val="single" w:sz="8" w:color="808080"/>
            </w:tcBorders>
          </w:tcPr>
          <w:p>
            <w:pPr>
              <w:spacing w:after="0"/>
              <w:rPr>
                <w:sz w:val="9"/>
                <w:szCs w:val="9"/>
                <w:color w:val="auto"/>
              </w:rPr>
            </w:pPr>
          </w:p>
        </w:tc>
        <w:tc>
          <w:tcPr>
            <w:tcW w:w="800" w:type="dxa"/>
            <w:vAlign w:val="bottom"/>
            <w:tcBorders>
              <w:top w:val="single" w:sz="8" w:color="CCEEFF"/>
              <w:bottom w:val="single" w:sz="8" w:color="808080"/>
            </w:tcBorders>
          </w:tcPr>
          <w:p>
            <w:pPr>
              <w:spacing w:after="0"/>
              <w:rPr>
                <w:sz w:val="9"/>
                <w:szCs w:val="9"/>
                <w:color w:val="auto"/>
              </w:rPr>
            </w:pPr>
          </w:p>
        </w:tc>
        <w:tc>
          <w:tcPr>
            <w:tcW w:w="18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286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375,512</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153,368</w:t>
            </w:r>
          </w:p>
        </w:tc>
        <w:tc>
          <w:tcPr>
            <w:tcW w:w="120" w:type="dxa"/>
            <w:vAlign w:val="bottom"/>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160,858</w:t>
            </w:r>
          </w:p>
        </w:tc>
        <w:tc>
          <w:tcPr>
            <w:tcW w:w="18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438,013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127,154</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34,206</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42,860</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173,851</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31,758</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(14,576)</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(14,435)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62,631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8"/>
        </w:trPr>
        <w:tc>
          <w:tcPr>
            <w:tcW w:w="2860" w:type="dxa"/>
            <w:vAlign w:val="bottom"/>
            <w:gridSpan w:val="3"/>
          </w:tcPr>
          <w:p>
            <w:pPr>
              <w:spacing w:after="0"/>
              <w:rPr>
                <w:sz w:val="20"/>
                <w:szCs w:val="20"/>
                <w:color w:val="auto"/>
              </w:rPr>
            </w:pPr>
            <w:r>
              <w:rPr>
                <w:rFonts w:ascii="Arial" w:cs="Arial" w:eastAsia="Arial" w:hAnsi="Arial"/>
                <w:sz w:val="18"/>
                <w:szCs w:val="18"/>
                <w:color w:val="auto"/>
              </w:rPr>
              <w:t>Per share data:</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Basic – EPS</w:t>
            </w:r>
          </w:p>
        </w:tc>
        <w:tc>
          <w:tcPr>
            <w:tcW w:w="1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(0.33)</w:t>
            </w: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(0.32)</w:t>
            </w:r>
          </w:p>
        </w:tc>
        <w:tc>
          <w:tcPr>
            <w:tcW w:w="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Diluted – EPS</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0.70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(0.33)</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(0.32)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34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2003</w:t>
            </w:r>
          </w:p>
        </w:tc>
        <w:tc>
          <w:tcPr>
            <w:tcW w:w="1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auto"/>
            </w:tcBorders>
            <w:vMerge w:val="restart"/>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411,008</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193,023</w:t>
            </w:r>
          </w:p>
        </w:tc>
        <w:tc>
          <w:tcPr>
            <w:tcW w:w="120" w:type="dxa"/>
            <w:vAlign w:val="bottom"/>
          </w:tcPr>
          <w:p>
            <w:pPr>
              <w:spacing w:after="0"/>
              <w:rPr>
                <w:sz w:val="19"/>
                <w:szCs w:val="19"/>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152,055</w:t>
            </w:r>
          </w:p>
        </w:tc>
        <w:tc>
          <w:tcPr>
            <w:tcW w:w="18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277,607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165,947</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71,483</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58,519</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100,190</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51,535</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14,623</w:t>
            </w:r>
          </w:p>
        </w:tc>
        <w:tc>
          <w:tcPr>
            <w:tcW w:w="120" w:type="dxa"/>
            <w:vAlign w:val="bottom"/>
          </w:tcPr>
          <w:p>
            <w:pPr>
              <w:spacing w:after="0"/>
              <w:rPr>
                <w:sz w:val="19"/>
                <w:szCs w:val="19"/>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5,696</w:t>
            </w:r>
          </w:p>
        </w:tc>
        <w:tc>
          <w:tcPr>
            <w:tcW w:w="18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26,264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8"/>
        </w:trPr>
        <w:tc>
          <w:tcPr>
            <w:tcW w:w="2860" w:type="dxa"/>
            <w:vAlign w:val="bottom"/>
            <w:gridSpan w:val="3"/>
          </w:tcPr>
          <w:p>
            <w:pPr>
              <w:spacing w:after="0"/>
              <w:rPr>
                <w:sz w:val="20"/>
                <w:szCs w:val="20"/>
                <w:color w:val="auto"/>
              </w:rPr>
            </w:pPr>
            <w:r>
              <w:rPr>
                <w:rFonts w:ascii="Arial" w:cs="Arial" w:eastAsia="Arial" w:hAnsi="Arial"/>
                <w:sz w:val="18"/>
                <w:szCs w:val="18"/>
                <w:color w:val="auto"/>
              </w:rPr>
              <w:t>Per share data:</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Basic – EPS</w:t>
            </w:r>
          </w:p>
        </w:tc>
        <w:tc>
          <w:tcPr>
            <w:tcW w:w="1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Diluted – EPS</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1.22</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9"/>
                <w:szCs w:val="19"/>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Under accounting principles generally accepted in the United States of America, quarterly computations of earnings per share must stand on their own and, therefore, the sum of basic and diluted EPS numbers for each of the four quarters of 2004 and 2003 may not equal full year basic and diluted EPS. Basic and diluted EPS for each quarter of 2004 and 2003 is computed using the weighted average number of shares outstanding during the quarter, while basic and diluted EPS for the full year is computed using the weighted average number of shares outstanding during the more extended period of time.</w:t>
      </w:r>
    </w:p>
    <w:p>
      <w:pPr>
        <w:spacing w:after="0" w:line="161"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OF DISTRIBUTION FACILITIES</w:t>
      </w:r>
    </w:p>
    <w:p>
      <w:pPr>
        <w:spacing w:after="0" w:line="23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January 2003, based on management’s strategy to consolidate the Company’s distribution business, and after taking into account the relative cost savings involved, the Company closed its warehouse operations in Ottawa, Illinois and College Point, New York. Operations at these warehouses ceased by January 31 and the business conducted there was consolidated with the operations of the Company’s Jack of All Games distribution facility in Ohio.</w:t>
      </w:r>
    </w:p>
    <w:p>
      <w:pPr>
        <w:spacing w:after="0" w:line="161"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As a result of the closures, the Company recorded a charge of $7,028. The charge consisted of: (1) lease termination costs, representing the fair value of remaining lease payments, net of estimated sublease rent; (2) disposition of fixed assets, representing the net book value of fixed assets and leasehold improvements; (3) other exit costs; and (4) an impairment charge with respect to an intangible asset, representing a customer list relating to the business conducted at the Illinois facility.</w:t>
      </w:r>
    </w:p>
    <w:p>
      <w:pPr>
        <w:sectPr>
          <w:pgSz w:w="11900" w:h="16838" w:orient="portrait"/>
          <w:cols w:equalWidth="0" w:num="1">
            <w:col w:w="11260"/>
          </w:cols>
          <w:pgMar w:left="240" w:top="131" w:right="399" w:bottom="1440" w:gutter="0" w:footer="0" w:header="0"/>
        </w:sectPr>
      </w:pP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These costs are included in general and administrative expense for the year ended October 31, 2003, except for the intangibles impairment which is included in depreciation and amortization expense, and are summarized in the table below:</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0"/>
              </w:rPr>
              <w:t>Lease</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20" w:type="dxa"/>
            <w:vAlign w:val="bottom"/>
          </w:tcPr>
          <w:p>
            <w:pPr>
              <w:spacing w:after="0"/>
              <w:rPr>
                <w:sz w:val="12"/>
                <w:szCs w:val="12"/>
                <w:color w:val="auto"/>
              </w:rPr>
            </w:pP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9"/>
              </w:rPr>
              <w:t>Fixed Asset</w:t>
            </w:r>
          </w:p>
        </w:tc>
        <w:tc>
          <w:tcPr>
            <w:tcW w:w="200" w:type="dxa"/>
            <w:vAlign w:val="bottom"/>
          </w:tcPr>
          <w:p>
            <w:pPr>
              <w:spacing w:after="0"/>
              <w:rPr>
                <w:sz w:val="12"/>
                <w:szCs w:val="12"/>
                <w:color w:val="auto"/>
              </w:rPr>
            </w:pPr>
          </w:p>
        </w:tc>
        <w:tc>
          <w:tcPr>
            <w:tcW w:w="12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Intangibles</w:t>
            </w:r>
          </w:p>
        </w:tc>
        <w:tc>
          <w:tcPr>
            <w:tcW w:w="120" w:type="dxa"/>
            <w:vAlign w:val="bottom"/>
          </w:tcPr>
          <w:p>
            <w:pPr>
              <w:spacing w:after="0"/>
              <w:rPr>
                <w:sz w:val="12"/>
                <w:szCs w:val="12"/>
                <w:color w:val="auto"/>
              </w:rPr>
            </w:pP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Costs</w:t>
            </w:r>
          </w:p>
        </w:tc>
        <w:tc>
          <w:tcPr>
            <w:tcW w:w="220" w:type="dxa"/>
            <w:vAlign w:val="bottom"/>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Dispositions</w:t>
            </w:r>
          </w:p>
        </w:tc>
        <w:tc>
          <w:tcPr>
            <w:tcW w:w="200" w:type="dxa"/>
            <w:vAlign w:val="bottom"/>
          </w:tcPr>
          <w:p>
            <w:pPr>
              <w:spacing w:after="0"/>
              <w:rPr>
                <w:sz w:val="15"/>
                <w:szCs w:val="15"/>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Pr>
          <w:p>
            <w:pPr>
              <w:spacing w:after="0"/>
              <w:rPr>
                <w:sz w:val="15"/>
                <w:szCs w:val="15"/>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Exit Costs</w:t>
            </w:r>
          </w:p>
        </w:tc>
        <w:tc>
          <w:tcPr>
            <w:tcW w:w="100" w:type="dxa"/>
            <w:vAlign w:val="bottom"/>
          </w:tcPr>
          <w:p>
            <w:pPr>
              <w:spacing w:after="0"/>
              <w:rPr>
                <w:sz w:val="15"/>
                <w:szCs w:val="15"/>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Provisions during year ended October 31, 2003</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Asset write-offs</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(999)</w:t>
            </w: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(4,407)</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(5,474)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(1,542)</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108"/>
        </w:trPr>
        <w:tc>
          <w:tcPr>
            <w:tcW w:w="4120" w:type="dxa"/>
            <w:vAlign w:val="bottom"/>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4120" w:type="dxa"/>
            <w:vAlign w:val="bottom"/>
            <w:gridSpan w:val="2"/>
          </w:tcPr>
          <w:p>
            <w:pPr>
              <w:spacing w:after="0"/>
              <w:rPr>
                <w:sz w:val="20"/>
                <w:szCs w:val="20"/>
                <w:color w:val="auto"/>
              </w:rPr>
            </w:pPr>
            <w:r>
              <w:rPr>
                <w:rFonts w:ascii="Arial" w:cs="Arial" w:eastAsia="Arial" w:hAnsi="Arial"/>
                <w:sz w:val="18"/>
                <w:szCs w:val="18"/>
                <w:color w:val="auto"/>
              </w:rPr>
              <w:t>Remaining Obligations at October 31, 2003</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-14605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-14605</wp:posOffset>
            </wp:positionV>
            <wp:extent cx="2159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-14605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-14605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-14605</wp:posOffset>
            </wp:positionV>
            <wp:extent cx="2159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-14605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-14605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-14605</wp:posOffset>
            </wp:positionV>
            <wp:extent cx="2159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-14605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-14605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2159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-14605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215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 is a publisher and distributor of interactive software games. The Company’s operations involve similar products and customers worldwide. The products are developed and sold domestically and internationally. The Company is centrally managed and the chief operating decision makers, the chief executive and chief operating officers, use consolidated financial information supplemented by sales information by product category, major product title and platform for making operational decisions and assessing financial performance. Accordingly, the Company operates in a single segment.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Company’s total non-current assets in the United States and international areas as of October 31, 2004 and 2003 are presented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35"/>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335"/>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500" w:type="dxa"/>
            <w:vAlign w:val="bottom"/>
            <w:vMerge w:val="restart"/>
          </w:tcPr>
          <w:p>
            <w:pPr>
              <w:spacing w:after="0"/>
              <w:rPr>
                <w:sz w:val="20"/>
                <w:szCs w:val="20"/>
                <w:color w:val="auto"/>
              </w:rPr>
            </w:pPr>
            <w:r>
              <w:rPr>
                <w:rFonts w:ascii="Arial" w:cs="Arial" w:eastAsia="Arial" w:hAnsi="Arial"/>
                <w:sz w:val="18"/>
                <w:szCs w:val="18"/>
                <w:color w:val="auto"/>
              </w:rPr>
              <w:t>Total non-current assets:</w:t>
            </w:r>
          </w:p>
        </w:tc>
        <w:tc>
          <w:tcPr>
            <w:tcW w:w="120" w:type="dxa"/>
            <w:vAlign w:val="bottom"/>
            <w:tcBorders>
              <w:bottom w:val="single" w:sz="8" w:color="808080"/>
            </w:tcBorders>
          </w:tcPr>
          <w:p>
            <w:pPr>
              <w:spacing w:after="0"/>
              <w:rPr>
                <w:sz w:val="16"/>
                <w:szCs w:val="16"/>
                <w:color w:val="auto"/>
              </w:rPr>
            </w:pPr>
          </w:p>
        </w:tc>
        <w:tc>
          <w:tcPr>
            <w:tcW w:w="1120" w:type="dxa"/>
            <w:vAlign w:val="bottom"/>
            <w:tcBorders>
              <w:bottom w:val="single" w:sz="8" w:color="808080"/>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1140" w:type="dxa"/>
            <w:vAlign w:val="bottom"/>
            <w:tcBorders>
              <w:bottom w:val="single" w:sz="8" w:color="808080"/>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8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163,709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118,683</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500" w:type="dxa"/>
            <w:vAlign w:val="bottom"/>
          </w:tcPr>
          <w:p>
            <w:pPr>
              <w:ind w:left="280"/>
              <w:spacing w:after="0"/>
              <w:rPr>
                <w:sz w:val="20"/>
                <w:szCs w:val="20"/>
                <w:color w:val="auto"/>
              </w:rPr>
            </w:pPr>
            <w:r>
              <w:rPr>
                <w:rFonts w:ascii="Arial" w:cs="Arial" w:eastAsia="Arial" w:hAnsi="Arial"/>
                <w:sz w:val="18"/>
                <w:szCs w:val="18"/>
                <w:color w:val="auto"/>
              </w:rPr>
              <w:t>Canada</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23,427</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17,520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850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5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United Kingdom</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31,263</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25,739</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00" w:type="dxa"/>
            <w:vAlign w:val="bottom"/>
          </w:tcPr>
          <w:p>
            <w:pPr>
              <w:ind w:left="520"/>
              <w:spacing w:after="0"/>
              <w:rPr>
                <w:sz w:val="20"/>
                <w:szCs w:val="20"/>
                <w:color w:val="auto"/>
              </w:rPr>
            </w:pPr>
            <w:r>
              <w:rPr>
                <w:rFonts w:ascii="Arial" w:cs="Arial" w:eastAsia="Arial" w:hAnsi="Arial"/>
                <w:sz w:val="18"/>
                <w:szCs w:val="18"/>
                <w:color w:val="auto"/>
              </w:rPr>
              <w:t>All other Europe</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16,809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19,275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10,364</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12,839</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8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85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245,572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194,056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8500" w:type="dxa"/>
            <w:vAlign w:val="bottom"/>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-14605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215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-14605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215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Information about the Company’s net sales in the United States and international areas for the years ended October 31, 2004, 2003 and 2002 are presented below (net sales are attributed to geographic areas based on product destination):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335"/>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35"/>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335"/>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712,999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667,580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606,467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104,373</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77,360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28,965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0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99,896</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88,381</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47,021</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All other Europe</w:t>
            </w:r>
          </w:p>
        </w:tc>
        <w:tc>
          <w:tcPr>
            <w:tcW w:w="3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173,880</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175,717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98,490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Asia Pacific</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35,280</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22,885</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12,593</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1,127,751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1,033,693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794,676</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-14605</wp:posOffset>
            </wp:positionV>
            <wp:extent cx="2159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-14605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-14605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2159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-14605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2159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60" w:type="dxa"/>
            <w:vAlign w:val="bottom"/>
          </w:tcPr>
          <w:p>
            <w:pPr>
              <w:ind w:left="440"/>
              <w:spacing w:after="0"/>
              <w:rPr>
                <w:sz w:val="20"/>
                <w:szCs w:val="20"/>
                <w:color w:val="auto"/>
              </w:rPr>
            </w:pPr>
            <w:r>
              <w:rPr>
                <w:rFonts w:ascii="Arial" w:cs="Arial" w:eastAsia="Arial" w:hAnsi="Arial"/>
                <w:sz w:val="18"/>
                <w:szCs w:val="18"/>
                <w:color w:val="auto"/>
              </w:rPr>
              <w:t>Domestic (1)</w:t>
            </w:r>
          </w:p>
        </w:tc>
        <w:tc>
          <w:tcPr>
            <w:tcW w:w="4280" w:type="dxa"/>
            <w:vAlign w:val="bottom"/>
          </w:tcPr>
          <w:p>
            <w:pPr>
              <w:jc w:val="right"/>
              <w:ind w:right="412"/>
              <w:spacing w:after="0"/>
              <w:rPr>
                <w:sz w:val="20"/>
                <w:szCs w:val="20"/>
                <w:color w:val="auto"/>
              </w:rPr>
            </w:pPr>
            <w:r>
              <w:rPr>
                <w:rFonts w:ascii="Arial" w:cs="Arial" w:eastAsia="Arial" w:hAnsi="Arial"/>
                <w:sz w:val="18"/>
                <w:szCs w:val="18"/>
                <w:color w:val="auto"/>
              </w:rPr>
              <w:t>72.5%</w:t>
            </w: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72.1%</w:t>
            </w:r>
          </w:p>
        </w:tc>
        <w:tc>
          <w:tcPr>
            <w:tcW w:w="102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9"/>
        </w:trPr>
        <w:tc>
          <w:tcPr>
            <w:tcW w:w="46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2"/>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42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27.5%</w:t>
            </w:r>
          </w:p>
        </w:tc>
        <w:tc>
          <w:tcPr>
            <w:tcW w:w="14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27.9%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
        </w:trPr>
        <w:tc>
          <w:tcPr>
            <w:tcW w:w="4660" w:type="dxa"/>
            <w:vAlign w:val="bottom"/>
            <w:shd w:val="clear" w:color="auto" w:fill="CCEEFF"/>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(1) includes Canada</w:t>
      </w:r>
    </w:p>
    <w:p>
      <w:pPr>
        <w:sectPr>
          <w:pgSz w:w="11900" w:h="16838" w:orient="portrait"/>
          <w:cols w:equalWidth="0" w:num="1">
            <w:col w:w="11420"/>
          </w:cols>
          <w:pgMar w:left="240" w:top="131" w:right="239" w:bottom="7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738"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Company’s net sales by product category for the years ended October 31, 2004, 2003 and 2002 are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337"/>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37"/>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337"/>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Product category:</w:t>
            </w:r>
          </w:p>
        </w:tc>
        <w:tc>
          <w:tcPr>
            <w:tcW w:w="3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9"/>
        </w:trPr>
        <w:tc>
          <w:tcPr>
            <w:tcW w:w="70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Publishing</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768,482</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671,892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568,492</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359,269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361,801</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226,184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7040" w:type="dxa"/>
            <w:vAlign w:val="bottom"/>
            <w:gridSpan w:val="2"/>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1,127,751</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1,033,693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794,676</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-14605</wp:posOffset>
            </wp:positionV>
            <wp:extent cx="2159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-14605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-14605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2159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-14605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2159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Publishing revenue is derived from the sale of internally developed interactive software titles or from the sale of titles licensed from third-party developers.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Distribution revenue is derived from the sale of third-party interactive software titles, hardware and accessories.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Company’s net sales by product platforms for the years ended October 31, 2004, 2003 and 2002 are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3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334"/>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040" w:type="dxa"/>
            <w:vAlign w:val="bottom"/>
            <w:vMerge w:val="restart"/>
          </w:tcPr>
          <w:p>
            <w:pPr>
              <w:spacing w:after="0"/>
              <w:rPr>
                <w:sz w:val="20"/>
                <w:szCs w:val="20"/>
                <w:color w:val="auto"/>
              </w:rPr>
            </w:pPr>
            <w:r>
              <w:rPr>
                <w:rFonts w:ascii="Arial" w:cs="Arial" w:eastAsia="Arial" w:hAnsi="Arial"/>
                <w:sz w:val="18"/>
                <w:szCs w:val="18"/>
                <w:color w:val="auto"/>
              </w:rPr>
              <w:t>Platforms:</w:t>
            </w:r>
          </w:p>
        </w:tc>
        <w:tc>
          <w:tcPr>
            <w:tcW w:w="320" w:type="dxa"/>
            <w:vAlign w:val="bottom"/>
            <w:tcBorders>
              <w:bottom w:val="single" w:sz="8" w:color="808080"/>
            </w:tcBorders>
          </w:tcPr>
          <w:p>
            <w:pPr>
              <w:spacing w:after="0"/>
              <w:rPr>
                <w:sz w:val="16"/>
                <w:szCs w:val="16"/>
                <w:color w:val="auto"/>
              </w:rPr>
            </w:pPr>
          </w:p>
        </w:tc>
        <w:tc>
          <w:tcPr>
            <w:tcW w:w="920" w:type="dxa"/>
            <w:vAlign w:val="bottom"/>
            <w:tcBorders>
              <w:bottom w:val="single" w:sz="8" w:color="808080"/>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1120" w:type="dxa"/>
            <w:vAlign w:val="bottom"/>
            <w:tcBorders>
              <w:bottom w:val="single" w:sz="8" w:color="808080"/>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1140" w:type="dxa"/>
            <w:vAlign w:val="bottom"/>
            <w:tcBorders>
              <w:bottom w:val="single" w:sz="8" w:color="808080"/>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70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Sony PlayStation 2</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639,625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591,205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473,214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40" w:type="dxa"/>
            <w:vAlign w:val="bottom"/>
          </w:tcPr>
          <w:p>
            <w:pPr>
              <w:ind w:left="680"/>
              <w:spacing w:after="0"/>
              <w:rPr>
                <w:sz w:val="20"/>
                <w:szCs w:val="20"/>
                <w:color w:val="auto"/>
              </w:rPr>
            </w:pPr>
            <w:r>
              <w:rPr>
                <w:rFonts w:ascii="Arial" w:cs="Arial" w:eastAsia="Arial" w:hAnsi="Arial"/>
                <w:sz w:val="18"/>
                <w:szCs w:val="18"/>
                <w:color w:val="auto"/>
              </w:rPr>
              <w:t>Sony PlayStation</w:t>
            </w:r>
          </w:p>
        </w:tc>
        <w:tc>
          <w:tcPr>
            <w:tcW w:w="3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24,244</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58,334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58,718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Microsoft Xbox</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222,165</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84,112</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54,144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40" w:type="dxa"/>
            <w:vAlign w:val="bottom"/>
          </w:tcPr>
          <w:p>
            <w:pPr>
              <w:ind w:left="680"/>
              <w:spacing w:after="0"/>
              <w:rPr>
                <w:sz w:val="20"/>
                <w:szCs w:val="20"/>
                <w:color w:val="auto"/>
              </w:rPr>
            </w:pPr>
            <w:r>
              <w:rPr>
                <w:rFonts w:ascii="Arial" w:cs="Arial" w:eastAsia="Arial" w:hAnsi="Arial"/>
                <w:sz w:val="18"/>
                <w:szCs w:val="18"/>
                <w:color w:val="auto"/>
              </w:rPr>
              <w:t>PC</w:t>
            </w:r>
          </w:p>
        </w:tc>
        <w:tc>
          <w:tcPr>
            <w:tcW w:w="3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69,653</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147,275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102,734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Nintendo Game Boy Color, Game Boy Advance and 64</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72,130</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48,547</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20,348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40" w:type="dxa"/>
            <w:vAlign w:val="bottom"/>
          </w:tcPr>
          <w:p>
            <w:pPr>
              <w:ind w:left="680"/>
              <w:spacing w:after="0"/>
              <w:rPr>
                <w:sz w:val="20"/>
                <w:szCs w:val="20"/>
                <w:color w:val="auto"/>
              </w:rPr>
            </w:pPr>
            <w:r>
              <w:rPr>
                <w:rFonts w:ascii="Arial" w:cs="Arial" w:eastAsia="Arial" w:hAnsi="Arial"/>
                <w:sz w:val="18"/>
                <w:szCs w:val="18"/>
                <w:color w:val="auto"/>
              </w:rPr>
              <w:t>Nintendo GameCube</w:t>
            </w:r>
          </w:p>
        </w:tc>
        <w:tc>
          <w:tcPr>
            <w:tcW w:w="3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39,732</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29,085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17,761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SEGA Dreamcast</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40" w:type="dxa"/>
            <w:vAlign w:val="bottom"/>
          </w:tcPr>
          <w:p>
            <w:pPr>
              <w:ind w:left="680"/>
              <w:spacing w:after="0"/>
              <w:rPr>
                <w:sz w:val="20"/>
                <w:szCs w:val="20"/>
                <w:color w:val="auto"/>
              </w:rPr>
            </w:pPr>
            <w:r>
              <w:rPr>
                <w:rFonts w:ascii="Arial" w:cs="Arial" w:eastAsia="Arial" w:hAnsi="Arial"/>
                <w:sz w:val="18"/>
                <w:szCs w:val="18"/>
                <w:color w:val="auto"/>
              </w:rPr>
              <w:t>Accessories</w:t>
            </w:r>
          </w:p>
        </w:tc>
        <w:tc>
          <w:tcPr>
            <w:tcW w:w="3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24,505</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20,165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31,734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Hardware</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35,691</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54,861</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34,421</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70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704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1,127,751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1,033,693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794,676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704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-14605</wp:posOffset>
            </wp:positionV>
            <wp:extent cx="2159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-14605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-14605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2159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-14605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2159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October 31, 2004, 2003 and 2002, the Company’s five largest customers accounted for 38.9%, 38.6%, and 31.4% of net sales,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October 31, 2004 and 2003, one customer accounted for $117,236 and $117,636, or 10.4% and 11.4%, of net sales, respectively.</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basic earnings per share to diluted earnings per share for the years ended October 31, 2004, 2003, and 2002.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4"/>
                <w:szCs w:val="1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140" w:type="dxa"/>
            <w:vAlign w:val="bottom"/>
          </w:tcPr>
          <w:p>
            <w:pPr>
              <w:jc w:val="right"/>
              <w:ind w:right="197"/>
              <w:spacing w:after="0"/>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5"/>
                <w:szCs w:val="15"/>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15"/>
                <w:szCs w:val="15"/>
                <w:color w:val="auto"/>
              </w:rPr>
            </w:pPr>
          </w:p>
        </w:tc>
        <w:tc>
          <w:tcPr>
            <w:tcW w:w="1140" w:type="dxa"/>
            <w:vAlign w:val="bottom"/>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040" w:type="dxa"/>
            <w:vAlign w:val="bottom"/>
            <w:vMerge w:val="restart"/>
          </w:tcPr>
          <w:p>
            <w:pPr>
              <w:spacing w:after="0"/>
              <w:rPr>
                <w:sz w:val="20"/>
                <w:szCs w:val="20"/>
                <w:color w:val="auto"/>
              </w:rPr>
            </w:pPr>
            <w:r>
              <w:rPr>
                <w:rFonts w:ascii="Arial" w:cs="Arial" w:eastAsia="Arial" w:hAnsi="Arial"/>
                <w:sz w:val="18"/>
                <w:szCs w:val="18"/>
                <w:color w:val="auto"/>
              </w:rPr>
              <w:t>Year Ended October 31, 2004</w:t>
            </w:r>
          </w:p>
        </w:tc>
        <w:tc>
          <w:tcPr>
            <w:tcW w:w="2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7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65,378</w:t>
            </w:r>
          </w:p>
        </w:tc>
        <w:tc>
          <w:tcPr>
            <w:tcW w:w="22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44,736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040" w:type="dxa"/>
            <w:vAlign w:val="bottom"/>
          </w:tcPr>
          <w:p>
            <w:pPr>
              <w:ind w:left="340"/>
              <w:spacing w:after="0"/>
              <w:rPr>
                <w:sz w:val="20"/>
                <w:szCs w:val="20"/>
                <w:color w:val="auto"/>
              </w:rPr>
            </w:pPr>
            <w:r>
              <w:rPr>
                <w:rFonts w:ascii="Arial" w:cs="Arial" w:eastAsia="Arial" w:hAnsi="Arial"/>
                <w:sz w:val="18"/>
                <w:szCs w:val="18"/>
                <w:color w:val="auto"/>
              </w:rPr>
              <w:t>Effect of dilutive securities – Stock options, restricted stock and warrants</w:t>
            </w: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70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7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65,378</w:t>
            </w:r>
          </w:p>
        </w:tc>
        <w:tc>
          <w:tcPr>
            <w:tcW w:w="22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45,682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7040" w:type="dxa"/>
            <w:vAlign w:val="bottom"/>
            <w:vMerge w:val="restart"/>
          </w:tcPr>
          <w:p>
            <w:pPr>
              <w:spacing w:after="0"/>
              <w:rPr>
                <w:sz w:val="20"/>
                <w:szCs w:val="20"/>
                <w:color w:val="auto"/>
              </w:rPr>
            </w:pPr>
            <w:r>
              <w:rPr>
                <w:rFonts w:ascii="Arial" w:cs="Arial" w:eastAsia="Arial" w:hAnsi="Arial"/>
                <w:sz w:val="18"/>
                <w:szCs w:val="18"/>
                <w:color w:val="auto"/>
              </w:rPr>
              <w:t>Year Ended October 31, 2003</w:t>
            </w:r>
          </w:p>
        </w:tc>
        <w:tc>
          <w:tcPr>
            <w:tcW w:w="2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9"/>
        </w:trPr>
        <w:tc>
          <w:tcPr>
            <w:tcW w:w="7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040" w:type="dxa"/>
            <w:vAlign w:val="bottom"/>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98,118</w:t>
            </w:r>
          </w:p>
        </w:tc>
        <w:tc>
          <w:tcPr>
            <w:tcW w:w="220" w:type="dxa"/>
            <w:vAlign w:val="bottom"/>
          </w:tcPr>
          <w:p>
            <w:pPr>
              <w:spacing w:after="0"/>
              <w:rPr>
                <w:sz w:val="21"/>
                <w:szCs w:val="21"/>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41,965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dilutive securities – Stock options, restricted stock, and warrants</w:t>
            </w: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70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Borders>
              <w:bottom w:val="single" w:sz="8" w:color="808080"/>
            </w:tcBorders>
            <w:gridSpan w:val="2"/>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7040" w:type="dxa"/>
            <w:vAlign w:val="bottom"/>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98,118</w:t>
            </w:r>
          </w:p>
        </w:tc>
        <w:tc>
          <w:tcPr>
            <w:tcW w:w="220" w:type="dxa"/>
            <w:vAlign w:val="bottom"/>
          </w:tcPr>
          <w:p>
            <w:pPr>
              <w:spacing w:after="0"/>
              <w:rPr>
                <w:sz w:val="24"/>
                <w:szCs w:val="24"/>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43,297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40" w:type="dxa"/>
            <w:vAlign w:val="bottom"/>
            <w:vMerge w:val="restart"/>
          </w:tcPr>
          <w:p>
            <w:pPr>
              <w:spacing w:after="0"/>
              <w:rPr>
                <w:sz w:val="20"/>
                <w:szCs w:val="20"/>
                <w:color w:val="auto"/>
              </w:rPr>
            </w:pPr>
            <w:r>
              <w:rPr>
                <w:rFonts w:ascii="Arial" w:cs="Arial" w:eastAsia="Arial" w:hAnsi="Arial"/>
                <w:sz w:val="18"/>
                <w:szCs w:val="18"/>
                <w:color w:val="auto"/>
              </w:rPr>
              <w:t>Year Ended October 31, 2002</w:t>
            </w:r>
          </w:p>
        </w:tc>
        <w:tc>
          <w:tcPr>
            <w:tcW w:w="2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7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71,563</w:t>
            </w:r>
          </w:p>
        </w:tc>
        <w:tc>
          <w:tcPr>
            <w:tcW w:w="22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38,030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040" w:type="dxa"/>
            <w:vAlign w:val="bottom"/>
          </w:tcPr>
          <w:p>
            <w:pPr>
              <w:ind w:left="340"/>
              <w:spacing w:after="0"/>
              <w:rPr>
                <w:sz w:val="20"/>
                <w:szCs w:val="20"/>
                <w:color w:val="auto"/>
              </w:rPr>
            </w:pPr>
            <w:r>
              <w:rPr>
                <w:rFonts w:ascii="Arial" w:cs="Arial" w:eastAsia="Arial" w:hAnsi="Arial"/>
                <w:sz w:val="18"/>
                <w:szCs w:val="18"/>
                <w:color w:val="auto"/>
              </w:rPr>
              <w:t>Effect of dilutive securities – Stock options and warrants</w:t>
            </w: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70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Borders>
              <w:bottom w:val="single" w:sz="8" w:color="808080"/>
            </w:tcBorders>
            <w:gridSpan w:val="2"/>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7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71,563</w:t>
            </w:r>
          </w:p>
        </w:tc>
        <w:tc>
          <w:tcPr>
            <w:tcW w:w="22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39,570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70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-2021205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-2021205</wp:posOffset>
            </wp:positionV>
            <wp:extent cx="2159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-2021205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-2021205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-2021205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-2021205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-2021205</wp:posOffset>
            </wp:positionV>
            <wp:extent cx="2159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-2021205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-940435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-940435</wp:posOffset>
            </wp:positionV>
            <wp:extent cx="2159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-940435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-940435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-940435</wp:posOffset>
            </wp:positionV>
            <wp:extent cx="2159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-940435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-940435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-940435</wp:posOffset>
            </wp:positionV>
            <wp:extent cx="2159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-940435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-14605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-14605</wp:posOffset>
            </wp:positionV>
            <wp:extent cx="2159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-14605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-14605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2159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-14605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-14605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2159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computation for diluted number of shares excludes those unexercised stock options and warrants, which are antidilutive. The number of such shares was 579,000, 1,000,000 and 143,000 for the years ended October 31, 2004, 2003, 2002, respectively.</w:t>
      </w:r>
    </w:p>
    <w:p>
      <w:pPr>
        <w:spacing w:after="0" w:line="180"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Effective June 2004, warehouse operations for our Italian subsidiary are provided by an entity owned by the Managing Director of the subsidiary. In 2004, the Company paid $202 for these services. The Company believes this arrangement is on terms no less favorable than could be obtained from an unaffiliated third-party.</w:t>
      </w:r>
    </w:p>
    <w:p>
      <w:pPr>
        <w:spacing w:after="0" w:line="19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Company’s former corporate headquarters were leased under a non-cancelable operating lease with a company controlled by the father of the former chairman of the board. The lease expired in March 2004. Rent expense and certain utility expenses under this lease amounted to $166, $444, and $403, for the years ended October 31, 2004, 2003, and 2002,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80" w:firstLine="342"/>
        <w:spacing w:after="0" w:line="33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in the City of New York, State of New York, in this day of December 2004.</w:t>
      </w:r>
    </w:p>
    <w:p>
      <w:pPr>
        <w:spacing w:after="0" w:line="160"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TAKE-TWO INTERACTIVE SOFTWARE, INC.</w:t>
      </w:r>
    </w:p>
    <w:p>
      <w:pPr>
        <w:spacing w:after="0" w:line="4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Richard W. Roedel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97155</wp:posOffset>
            </wp:positionV>
            <wp:extent cx="33274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4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W. Roedel</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and Chief Executive Officer</w:t>
      </w:r>
    </w:p>
    <w:p>
      <w:pPr>
        <w:spacing w:after="0" w:line="279" w:lineRule="exact"/>
        <w:rPr>
          <w:sz w:val="20"/>
          <w:szCs w:val="20"/>
          <w:color w:val="auto"/>
        </w:rPr>
      </w:pPr>
    </w:p>
    <w:p>
      <w:pPr>
        <w:ind w:right="140" w:firstLine="342"/>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6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340" w:type="dxa"/>
            <w:vAlign w:val="bottom"/>
          </w:tcPr>
          <w:p>
            <w:pPr>
              <w:spacing w:after="0"/>
              <w:rPr>
                <w:sz w:val="19"/>
                <w:szCs w:val="19"/>
                <w:color w:val="auto"/>
              </w:rPr>
            </w:pPr>
          </w:p>
        </w:tc>
        <w:tc>
          <w:tcPr>
            <w:tcW w:w="3180" w:type="dxa"/>
            <w:vAlign w:val="bottom"/>
          </w:tcPr>
          <w:p>
            <w:pPr>
              <w:ind w:left="1420"/>
              <w:spacing w:after="0"/>
              <w:rPr>
                <w:sz w:val="20"/>
                <w:szCs w:val="20"/>
                <w:color w:val="auto"/>
              </w:rPr>
            </w:pPr>
            <w:r>
              <w:rPr>
                <w:rFonts w:ascii="Arial" w:cs="Arial" w:eastAsia="Arial" w:hAnsi="Arial"/>
                <w:sz w:val="18"/>
                <w:szCs w:val="18"/>
                <w:b w:val="1"/>
                <w:bCs w:val="1"/>
                <w:color w:val="auto"/>
              </w:rPr>
              <w:t>Title</w:t>
            </w:r>
          </w:p>
        </w:tc>
        <w:tc>
          <w:tcPr>
            <w:tcW w:w="34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87"/>
              </w:rPr>
              <w:t>Date</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416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318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318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4160" w:type="dxa"/>
            <w:vAlign w:val="bottom"/>
          </w:tcPr>
          <w:p>
            <w:pPr>
              <w:spacing w:after="0"/>
              <w:rPr>
                <w:sz w:val="20"/>
                <w:szCs w:val="20"/>
                <w:color w:val="auto"/>
              </w:rPr>
            </w:pPr>
            <w:r>
              <w:rPr>
                <w:rFonts w:ascii="Arial" w:cs="Arial" w:eastAsia="Arial" w:hAnsi="Arial"/>
                <w:sz w:val="18"/>
                <w:szCs w:val="18"/>
                <w:color w:val="auto"/>
              </w:rPr>
              <w:t>/s/ Richard W. Roedel</w:t>
            </w:r>
          </w:p>
        </w:tc>
        <w:tc>
          <w:tcPr>
            <w:tcW w:w="34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4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7"/>
              </w:rPr>
              <w:t>December 20, 2004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16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3180" w:type="dxa"/>
            <w:vAlign w:val="bottom"/>
            <w:vMerge w:val="restart"/>
          </w:tcPr>
          <w:p>
            <w:pPr>
              <w:spacing w:after="0"/>
              <w:rPr>
                <w:sz w:val="20"/>
                <w:szCs w:val="20"/>
                <w:color w:val="auto"/>
              </w:rPr>
            </w:pPr>
            <w:r>
              <w:rPr>
                <w:rFonts w:ascii="Arial" w:cs="Arial" w:eastAsia="Arial" w:hAnsi="Arial"/>
                <w:sz w:val="18"/>
                <w:szCs w:val="18"/>
                <w:color w:val="auto"/>
              </w:rPr>
              <w:t>(Principal Executive Officer)</w:t>
            </w:r>
          </w:p>
        </w:tc>
        <w:tc>
          <w:tcPr>
            <w:tcW w:w="3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160" w:type="dxa"/>
            <w:vAlign w:val="bottom"/>
            <w:vMerge w:val="restart"/>
          </w:tcPr>
          <w:p>
            <w:pPr>
              <w:spacing w:after="0"/>
              <w:rPr>
                <w:sz w:val="20"/>
                <w:szCs w:val="20"/>
                <w:color w:val="auto"/>
              </w:rPr>
            </w:pPr>
            <w:r>
              <w:rPr>
                <w:rFonts w:ascii="Arial" w:cs="Arial" w:eastAsia="Arial" w:hAnsi="Arial"/>
                <w:sz w:val="18"/>
                <w:szCs w:val="18"/>
                <w:color w:val="auto"/>
              </w:rPr>
              <w:t>Richard W. Roedel</w:t>
            </w:r>
          </w:p>
        </w:tc>
        <w:tc>
          <w:tcPr>
            <w:tcW w:w="34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41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160" w:type="dxa"/>
            <w:vAlign w:val="bottom"/>
          </w:tcPr>
          <w:p>
            <w:pPr>
              <w:spacing w:after="0"/>
              <w:rPr>
                <w:sz w:val="20"/>
                <w:szCs w:val="20"/>
                <w:color w:val="auto"/>
              </w:rPr>
            </w:pPr>
            <w:r>
              <w:rPr>
                <w:rFonts w:ascii="Arial" w:cs="Arial" w:eastAsia="Arial" w:hAnsi="Arial"/>
                <w:sz w:val="18"/>
                <w:szCs w:val="18"/>
                <w:color w:val="auto"/>
              </w:rPr>
              <w:t>/s/ Karl H. Winters</w:t>
            </w:r>
          </w:p>
        </w:tc>
        <w:tc>
          <w:tcPr>
            <w:tcW w:w="34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Chief Financial Officer (Principal</w:t>
            </w:r>
          </w:p>
        </w:tc>
        <w:tc>
          <w:tcPr>
            <w:tcW w:w="34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7"/>
              </w:rPr>
              <w:t>December 20, 2004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16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3180" w:type="dxa"/>
            <w:vAlign w:val="bottom"/>
            <w:vMerge w:val="restart"/>
          </w:tcPr>
          <w:p>
            <w:pPr>
              <w:spacing w:after="0"/>
              <w:rPr>
                <w:sz w:val="20"/>
                <w:szCs w:val="20"/>
                <w:color w:val="auto"/>
              </w:rPr>
            </w:pPr>
            <w:r>
              <w:rPr>
                <w:rFonts w:ascii="Arial" w:cs="Arial" w:eastAsia="Arial" w:hAnsi="Arial"/>
                <w:sz w:val="18"/>
                <w:szCs w:val="18"/>
                <w:color w:val="auto"/>
              </w:rPr>
              <w:t>Financial and Accounting Officer)</w:t>
            </w:r>
          </w:p>
        </w:tc>
        <w:tc>
          <w:tcPr>
            <w:tcW w:w="3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160" w:type="dxa"/>
            <w:vAlign w:val="bottom"/>
            <w:vMerge w:val="restart"/>
          </w:tcPr>
          <w:p>
            <w:pPr>
              <w:spacing w:after="0"/>
              <w:rPr>
                <w:sz w:val="20"/>
                <w:szCs w:val="20"/>
                <w:color w:val="auto"/>
              </w:rPr>
            </w:pPr>
            <w:r>
              <w:rPr>
                <w:rFonts w:ascii="Arial" w:cs="Arial" w:eastAsia="Arial" w:hAnsi="Arial"/>
                <w:sz w:val="18"/>
                <w:szCs w:val="18"/>
                <w:color w:val="auto"/>
              </w:rPr>
              <w:t>Karl H. Winters</w:t>
            </w:r>
          </w:p>
        </w:tc>
        <w:tc>
          <w:tcPr>
            <w:tcW w:w="34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41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160" w:type="dxa"/>
            <w:vAlign w:val="bottom"/>
          </w:tcPr>
          <w:p>
            <w:pPr>
              <w:spacing w:after="0"/>
              <w:rPr>
                <w:sz w:val="20"/>
                <w:szCs w:val="20"/>
                <w:color w:val="auto"/>
              </w:rPr>
            </w:pPr>
            <w:r>
              <w:rPr>
                <w:rFonts w:ascii="Arial" w:cs="Arial" w:eastAsia="Arial" w:hAnsi="Arial"/>
                <w:sz w:val="18"/>
                <w:szCs w:val="18"/>
                <w:color w:val="auto"/>
              </w:rPr>
              <w:t>/s/ Robert Flug</w:t>
            </w:r>
          </w:p>
        </w:tc>
        <w:tc>
          <w:tcPr>
            <w:tcW w:w="34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7"/>
              </w:rPr>
              <w:t>December 20, 2004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16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4160" w:type="dxa"/>
            <w:vAlign w:val="bottom"/>
          </w:tcPr>
          <w:p>
            <w:pPr>
              <w:spacing w:after="0"/>
              <w:rPr>
                <w:sz w:val="20"/>
                <w:szCs w:val="20"/>
                <w:color w:val="auto"/>
              </w:rPr>
            </w:pPr>
            <w:r>
              <w:rPr>
                <w:rFonts w:ascii="Arial" w:cs="Arial" w:eastAsia="Arial" w:hAnsi="Arial"/>
                <w:sz w:val="18"/>
                <w:szCs w:val="18"/>
                <w:color w:val="auto"/>
              </w:rPr>
              <w:t>Robert Flug</w:t>
            </w: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160" w:type="dxa"/>
            <w:vAlign w:val="bottom"/>
          </w:tcPr>
          <w:p>
            <w:pPr>
              <w:spacing w:after="0"/>
              <w:rPr>
                <w:sz w:val="20"/>
                <w:szCs w:val="20"/>
                <w:color w:val="auto"/>
              </w:rPr>
            </w:pPr>
            <w:r>
              <w:rPr>
                <w:rFonts w:ascii="Arial" w:cs="Arial" w:eastAsia="Arial" w:hAnsi="Arial"/>
                <w:sz w:val="18"/>
                <w:szCs w:val="18"/>
                <w:color w:val="auto"/>
              </w:rPr>
              <w:t>/s/ Steven Tisch</w:t>
            </w:r>
          </w:p>
        </w:tc>
        <w:tc>
          <w:tcPr>
            <w:tcW w:w="34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7"/>
              </w:rPr>
              <w:t>December 20, 2004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16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4160" w:type="dxa"/>
            <w:vAlign w:val="bottom"/>
          </w:tcPr>
          <w:p>
            <w:pPr>
              <w:spacing w:after="0"/>
              <w:rPr>
                <w:sz w:val="20"/>
                <w:szCs w:val="20"/>
                <w:color w:val="auto"/>
              </w:rPr>
            </w:pPr>
            <w:r>
              <w:rPr>
                <w:rFonts w:ascii="Arial" w:cs="Arial" w:eastAsia="Arial" w:hAnsi="Arial"/>
                <w:sz w:val="18"/>
                <w:szCs w:val="18"/>
                <w:color w:val="auto"/>
              </w:rPr>
              <w:t>Steven Tisch</w:t>
            </w: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160" w:type="dxa"/>
            <w:vAlign w:val="bottom"/>
          </w:tcPr>
          <w:p>
            <w:pPr>
              <w:spacing w:after="0"/>
              <w:rPr>
                <w:sz w:val="20"/>
                <w:szCs w:val="20"/>
                <w:color w:val="auto"/>
              </w:rPr>
            </w:pPr>
            <w:r>
              <w:rPr>
                <w:rFonts w:ascii="Arial" w:cs="Arial" w:eastAsia="Arial" w:hAnsi="Arial"/>
                <w:sz w:val="18"/>
                <w:szCs w:val="18"/>
                <w:color w:val="auto"/>
              </w:rPr>
              <w:t>/s/ Oliver R. Grace, Jr.</w:t>
            </w:r>
          </w:p>
        </w:tc>
        <w:tc>
          <w:tcPr>
            <w:tcW w:w="34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7"/>
              </w:rPr>
              <w:t>December 20, 2004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16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4160" w:type="dxa"/>
            <w:vAlign w:val="bottom"/>
          </w:tcPr>
          <w:p>
            <w:pPr>
              <w:spacing w:after="0"/>
              <w:rPr>
                <w:sz w:val="20"/>
                <w:szCs w:val="20"/>
                <w:color w:val="auto"/>
              </w:rPr>
            </w:pPr>
            <w:r>
              <w:rPr>
                <w:rFonts w:ascii="Arial" w:cs="Arial" w:eastAsia="Arial" w:hAnsi="Arial"/>
                <w:sz w:val="18"/>
                <w:szCs w:val="18"/>
                <w:color w:val="auto"/>
              </w:rPr>
              <w:t>Oliver R. Grace, Jr.</w:t>
            </w: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160" w:type="dxa"/>
            <w:vAlign w:val="bottom"/>
          </w:tcPr>
          <w:p>
            <w:pPr>
              <w:spacing w:after="0"/>
              <w:rPr>
                <w:sz w:val="20"/>
                <w:szCs w:val="20"/>
                <w:color w:val="auto"/>
              </w:rPr>
            </w:pPr>
            <w:r>
              <w:rPr>
                <w:rFonts w:ascii="Arial" w:cs="Arial" w:eastAsia="Arial" w:hAnsi="Arial"/>
                <w:sz w:val="18"/>
                <w:szCs w:val="18"/>
                <w:color w:val="auto"/>
              </w:rPr>
              <w:t>/s/ Todd Emmel</w:t>
            </w:r>
          </w:p>
        </w:tc>
        <w:tc>
          <w:tcPr>
            <w:tcW w:w="34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7"/>
              </w:rPr>
              <w:t>December 20, 2004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16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4160" w:type="dxa"/>
            <w:vAlign w:val="bottom"/>
          </w:tcPr>
          <w:p>
            <w:pPr>
              <w:spacing w:after="0"/>
              <w:rPr>
                <w:sz w:val="20"/>
                <w:szCs w:val="20"/>
                <w:color w:val="auto"/>
              </w:rPr>
            </w:pPr>
            <w:r>
              <w:rPr>
                <w:rFonts w:ascii="Arial" w:cs="Arial" w:eastAsia="Arial" w:hAnsi="Arial"/>
                <w:sz w:val="18"/>
                <w:szCs w:val="18"/>
                <w:color w:val="auto"/>
              </w:rPr>
              <w:t>Todd Emmel</w:t>
            </w: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160" w:type="dxa"/>
            <w:vAlign w:val="bottom"/>
          </w:tcPr>
          <w:p>
            <w:pPr>
              <w:spacing w:after="0"/>
              <w:rPr>
                <w:sz w:val="20"/>
                <w:szCs w:val="20"/>
                <w:color w:val="auto"/>
              </w:rPr>
            </w:pPr>
            <w:r>
              <w:rPr>
                <w:rFonts w:ascii="Arial" w:cs="Arial" w:eastAsia="Arial" w:hAnsi="Arial"/>
                <w:sz w:val="18"/>
                <w:szCs w:val="18"/>
                <w:color w:val="auto"/>
              </w:rPr>
              <w:t>/s/ Mark Lewis</w:t>
            </w:r>
          </w:p>
        </w:tc>
        <w:tc>
          <w:tcPr>
            <w:tcW w:w="34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7"/>
              </w:rPr>
              <w:t>December 20, 2004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16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4160" w:type="dxa"/>
            <w:vAlign w:val="bottom"/>
          </w:tcPr>
          <w:p>
            <w:pPr>
              <w:spacing w:after="0"/>
              <w:rPr>
                <w:sz w:val="20"/>
                <w:szCs w:val="20"/>
                <w:color w:val="auto"/>
              </w:rPr>
            </w:pPr>
            <w:r>
              <w:rPr>
                <w:rFonts w:ascii="Arial" w:cs="Arial" w:eastAsia="Arial" w:hAnsi="Arial"/>
                <w:sz w:val="18"/>
                <w:szCs w:val="18"/>
                <w:color w:val="auto"/>
              </w:rPr>
              <w:t>Mark Lewis</w:t>
            </w: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160" w:type="dxa"/>
            <w:vAlign w:val="bottom"/>
          </w:tcPr>
          <w:p>
            <w:pPr>
              <w:spacing w:after="0"/>
              <w:rPr>
                <w:sz w:val="20"/>
                <w:szCs w:val="20"/>
                <w:color w:val="auto"/>
              </w:rPr>
            </w:pPr>
            <w:r>
              <w:rPr>
                <w:rFonts w:ascii="Arial" w:cs="Arial" w:eastAsia="Arial" w:hAnsi="Arial"/>
                <w:sz w:val="18"/>
                <w:szCs w:val="18"/>
                <w:color w:val="auto"/>
              </w:rPr>
              <w:t>/s/ Paul Eibeler</w:t>
            </w:r>
          </w:p>
        </w:tc>
        <w:tc>
          <w:tcPr>
            <w:tcW w:w="34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President and Director</w:t>
            </w:r>
          </w:p>
        </w:tc>
        <w:tc>
          <w:tcPr>
            <w:tcW w:w="34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7"/>
              </w:rPr>
              <w:t>December 20, 2004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16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4160" w:type="dxa"/>
            <w:vAlign w:val="bottom"/>
          </w:tcPr>
          <w:p>
            <w:pPr>
              <w:spacing w:after="0"/>
              <w:rPr>
                <w:sz w:val="20"/>
                <w:szCs w:val="20"/>
                <w:color w:val="auto"/>
              </w:rPr>
            </w:pPr>
            <w:r>
              <w:rPr>
                <w:rFonts w:ascii="Arial" w:cs="Arial" w:eastAsia="Arial" w:hAnsi="Arial"/>
                <w:sz w:val="18"/>
                <w:szCs w:val="18"/>
                <w:color w:val="auto"/>
              </w:rPr>
              <w:t>Paul Eibeler</w:t>
            </w: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160" w:type="dxa"/>
            <w:vAlign w:val="bottom"/>
          </w:tcPr>
          <w:p>
            <w:pPr>
              <w:spacing w:after="0"/>
              <w:rPr>
                <w:sz w:val="20"/>
                <w:szCs w:val="20"/>
                <w:color w:val="auto"/>
              </w:rPr>
            </w:pPr>
            <w:r>
              <w:rPr>
                <w:rFonts w:ascii="Arial" w:cs="Arial" w:eastAsia="Arial" w:hAnsi="Arial"/>
                <w:sz w:val="18"/>
                <w:szCs w:val="18"/>
                <w:color w:val="auto"/>
              </w:rPr>
              <w:t>/s/ Barbara A. Kaczynski</w:t>
            </w:r>
          </w:p>
        </w:tc>
        <w:tc>
          <w:tcPr>
            <w:tcW w:w="34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7"/>
              </w:rPr>
              <w:t>December 20, 2004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16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4160" w:type="dxa"/>
            <w:vAlign w:val="bottom"/>
          </w:tcPr>
          <w:p>
            <w:pPr>
              <w:spacing w:after="0"/>
              <w:rPr>
                <w:sz w:val="20"/>
                <w:szCs w:val="20"/>
                <w:color w:val="auto"/>
              </w:rPr>
            </w:pPr>
            <w:r>
              <w:rPr>
                <w:rFonts w:ascii="Arial" w:cs="Arial" w:eastAsia="Arial" w:hAnsi="Arial"/>
                <w:sz w:val="18"/>
                <w:szCs w:val="18"/>
                <w:color w:val="auto"/>
              </w:rPr>
              <w:t>Barbara A. Kaczynski</w:t>
            </w: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60" w:type="dxa"/>
            <w:vAlign w:val="bottom"/>
          </w:tcPr>
          <w:p>
            <w:pPr>
              <w:spacing w:after="0"/>
              <w:rPr>
                <w:sz w:val="24"/>
                <w:szCs w:val="24"/>
                <w:color w:val="auto"/>
              </w:rPr>
            </w:pPr>
          </w:p>
        </w:tc>
        <w:tc>
          <w:tcPr>
            <w:tcW w:w="3520" w:type="dxa"/>
            <w:vAlign w:val="bottom"/>
            <w:gridSpan w:val="2"/>
          </w:tcPr>
          <w:p>
            <w:pPr>
              <w:jc w:val="right"/>
              <w:ind w:right="1792"/>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Take-Two Interactive Software,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Valuation and Qualifying Accounts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ind w:right="2"/>
              <w:spacing w:after="0"/>
              <w:rPr>
                <w:sz w:val="20"/>
                <w:szCs w:val="20"/>
                <w:color w:val="auto"/>
              </w:rPr>
            </w:pPr>
            <w:r>
              <w:rPr>
                <w:rFonts w:ascii="Arial" w:cs="Arial" w:eastAsia="Arial" w:hAnsi="Arial"/>
                <w:sz w:val="14"/>
                <w:szCs w:val="14"/>
                <w:b w:val="1"/>
                <w:bCs w:val="1"/>
                <w:color w:val="auto"/>
                <w:w w:val="88"/>
              </w:rPr>
              <w:t>Additions (A)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106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1040" w:type="dxa"/>
            <w:vAlign w:val="bottom"/>
            <w:tcBorders>
              <w:bottom w:val="single" w:sz="8" w:color="808080"/>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Expenses and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2"/>
              </w:rPr>
              <w:t>Revenue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Other Costs</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74"/>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3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Reductions(D)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(E)</w:t>
            </w:r>
          </w:p>
        </w:tc>
        <w:tc>
          <w:tcPr>
            <w:tcW w:w="24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Deductions (B)</w:t>
            </w:r>
          </w:p>
        </w:tc>
        <w:tc>
          <w:tcPr>
            <w:tcW w:w="220" w:type="dxa"/>
            <w:vAlign w:val="bottom"/>
          </w:tcPr>
          <w:p>
            <w:pPr>
              <w:spacing w:after="0"/>
              <w:rPr>
                <w:sz w:val="15"/>
                <w:szCs w:val="15"/>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Other (C)</w:t>
            </w:r>
          </w:p>
        </w:tc>
        <w:tc>
          <w:tcPr>
            <w:tcW w:w="20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End of Period</w:t>
            </w:r>
          </w:p>
        </w:tc>
        <w:tc>
          <w:tcPr>
            <w:tcW w:w="0" w:type="dxa"/>
            <w:vAlign w:val="bottom"/>
          </w:tcPr>
          <w:p>
            <w:pPr>
              <w:spacing w:after="0"/>
              <w:rPr>
                <w:sz w:val="1"/>
                <w:szCs w:val="1"/>
                <w:color w:val="auto"/>
              </w:rPr>
            </w:pPr>
          </w:p>
        </w:tc>
      </w:tr>
      <w:tr>
        <w:trPr>
          <w:trHeight w:val="95"/>
        </w:trPr>
        <w:tc>
          <w:tcPr>
            <w:tcW w:w="2420" w:type="dxa"/>
            <w:vAlign w:val="bottom"/>
            <w:tcBorders>
              <w:bottom w:val="single" w:sz="8" w:color="808080"/>
            </w:tcBorders>
            <w:gridSpan w:val="2"/>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420" w:type="dxa"/>
            <w:vAlign w:val="bottom"/>
            <w:gridSpan w:val="2"/>
          </w:tcPr>
          <w:p>
            <w:pPr>
              <w:spacing w:after="0"/>
              <w:rPr>
                <w:sz w:val="20"/>
                <w:szCs w:val="20"/>
                <w:color w:val="auto"/>
              </w:rPr>
            </w:pPr>
            <w:r>
              <w:rPr>
                <w:rFonts w:ascii="Arial" w:cs="Arial" w:eastAsia="Arial" w:hAnsi="Arial"/>
                <w:sz w:val="18"/>
                <w:szCs w:val="18"/>
                <w:color w:val="auto"/>
              </w:rPr>
              <w:t>Year Ended October 31, 2004</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Allowances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62,817</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26,532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194,667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72,215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420" w:type="dxa"/>
            <w:vAlign w:val="bottom"/>
            <w:gridSpan w:val="2"/>
          </w:tcPr>
          <w:p>
            <w:pPr>
              <w:spacing w:after="0"/>
              <w:rPr>
                <w:sz w:val="20"/>
                <w:szCs w:val="20"/>
                <w:color w:val="auto"/>
              </w:rPr>
            </w:pPr>
            <w:r>
              <w:rPr>
                <w:rFonts w:ascii="Arial" w:cs="Arial" w:eastAsia="Arial" w:hAnsi="Arial"/>
                <w:sz w:val="18"/>
                <w:szCs w:val="18"/>
                <w:color w:val="auto"/>
              </w:rPr>
              <w:t>Year Ended October 31, 2003</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Allowances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30,806</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112,682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11,969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94,937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420" w:type="dxa"/>
            <w:vAlign w:val="bottom"/>
            <w:gridSpan w:val="2"/>
          </w:tcPr>
          <w:p>
            <w:pPr>
              <w:spacing w:after="0"/>
              <w:rPr>
                <w:sz w:val="20"/>
                <w:szCs w:val="20"/>
                <w:color w:val="auto"/>
              </w:rPr>
            </w:pPr>
            <w:r>
              <w:rPr>
                <w:rFonts w:ascii="Arial" w:cs="Arial" w:eastAsia="Arial" w:hAnsi="Arial"/>
                <w:sz w:val="18"/>
                <w:szCs w:val="18"/>
                <w:color w:val="auto"/>
              </w:rPr>
              <w:t>Year Ended October 31, 2002</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Allowances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11,979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increases in allowance for sales returns and doubtful accounts due to normal reserving terms.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actual write-offs of uncollectible accounts receivable or sales returns and recoveries of previously written off receivables.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$2,265 of which $1,118 related to acquisitions, $2,297 and $669 related to foreign exchange in 2004, 2003 in 2002.</w:t>
      </w:r>
    </w:p>
    <w:p>
      <w:pPr>
        <w:spacing w:after="0" w:line="252" w:lineRule="exact"/>
        <w:rPr>
          <w:rFonts w:ascii="Arial" w:cs="Arial" w:eastAsia="Arial" w:hAnsi="Arial"/>
          <w:sz w:val="18"/>
          <w:szCs w:val="18"/>
          <w:color w:val="auto"/>
        </w:rPr>
      </w:pPr>
    </w:p>
    <w:p>
      <w:pPr>
        <w:ind w:left="340" w:right="660" w:hanging="332"/>
        <w:spacing w:after="0" w:line="33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price concessions of $57,287, $45,919 and $29,513; returns of $66,066, $47,342 and $28,350; other sales allowances including rebates and discounts of $50,797, $19,421 and $4,659 for the year ended October 31, 2004, 2003 and 2002, respectively.</w:t>
      </w:r>
    </w:p>
    <w:p>
      <w:pPr>
        <w:spacing w:after="0" w:line="166" w:lineRule="exact"/>
        <w:rPr>
          <w:rFonts w:ascii="Arial" w:cs="Arial" w:eastAsia="Arial" w:hAnsi="Arial"/>
          <w:sz w:val="16"/>
          <w:szCs w:val="16"/>
          <w:color w:val="auto"/>
        </w:rPr>
      </w:pPr>
    </w:p>
    <w:p>
      <w:pPr>
        <w:ind w:left="340" w:right="220" w:hanging="332"/>
        <w:spacing w:after="0" w:line="268"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$22,137, $7,647 and $9,574 related to cooperative advertising for the year ended October 31, 2004, 2003 and 2002. Also includes $4,395, $4,322 and $2,405 related to allowance for bad debts for the year ended October 31, 2004, 2003 and 2002.</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80" w:type="dxa"/>
            <w:vAlign w:val="bottom"/>
            <w:gridSpan w:val="2"/>
          </w:tcPr>
          <w:p>
            <w:pPr>
              <w:ind w:left="2000"/>
              <w:spacing w:after="0"/>
              <w:rPr>
                <w:sz w:val="20"/>
                <w:szCs w:val="20"/>
                <w:color w:val="auto"/>
              </w:rPr>
            </w:pPr>
            <w:r>
              <w:rPr>
                <w:rFonts w:ascii="Arial" w:cs="Arial" w:eastAsia="Arial" w:hAnsi="Arial"/>
                <w:sz w:val="18"/>
                <w:szCs w:val="18"/>
                <w:color w:val="auto"/>
                <w:w w:val="91"/>
              </w:rPr>
              <w:t>Exhibit 21.1</w:t>
            </w:r>
          </w:p>
        </w:tc>
      </w:tr>
      <w:tr>
        <w:trPr>
          <w:trHeight w:val="394"/>
        </w:trPr>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Subsidiaries of the Company*</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39"/>
        </w:trPr>
        <w:tc>
          <w:tcPr>
            <w:tcW w:w="7700" w:type="dxa"/>
            <w:vAlign w:val="bottom"/>
            <w:gridSpan w:val="5"/>
          </w:tcPr>
          <w:p>
            <w:pPr>
              <w:spacing w:after="0"/>
              <w:rPr>
                <w:sz w:val="20"/>
                <w:szCs w:val="20"/>
                <w:color w:val="auto"/>
              </w:rPr>
            </w:pPr>
            <w:r>
              <w:rPr>
                <w:rFonts w:ascii="Arial" w:cs="Arial" w:eastAsia="Arial" w:hAnsi="Arial"/>
                <w:sz w:val="18"/>
                <w:szCs w:val="18"/>
                <w:b w:val="1"/>
                <w:bCs w:val="1"/>
                <w:color w:val="auto"/>
              </w:rPr>
              <w:t>Name</w:t>
            </w:r>
          </w:p>
        </w:tc>
        <w:tc>
          <w:tcPr>
            <w:tcW w:w="3740" w:type="dxa"/>
            <w:vAlign w:val="bottom"/>
            <w:gridSpan w:val="3"/>
          </w:tcPr>
          <w:p>
            <w:pPr>
              <w:ind w:left="860"/>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440" w:type="dxa"/>
            <w:vAlign w:val="bottom"/>
            <w:shd w:val="clear" w:color="auto" w:fill="000000"/>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71"/>
        </w:trPr>
        <w:tc>
          <w:tcPr>
            <w:tcW w:w="7700" w:type="dxa"/>
            <w:vAlign w:val="bottom"/>
            <w:gridSpan w:val="5"/>
          </w:tcPr>
          <w:p>
            <w:pPr>
              <w:spacing w:after="0"/>
              <w:rPr>
                <w:sz w:val="20"/>
                <w:szCs w:val="20"/>
                <w:color w:val="auto"/>
              </w:rPr>
            </w:pPr>
            <w:r>
              <w:rPr>
                <w:rFonts w:ascii="Arial" w:cs="Arial" w:eastAsia="Arial" w:hAnsi="Arial"/>
                <w:sz w:val="18"/>
                <w:szCs w:val="18"/>
                <w:color w:val="auto"/>
              </w:rPr>
              <w:t>North America Subsidiaries:</w:t>
            </w:r>
          </w:p>
        </w:tc>
        <w:tc>
          <w:tcPr>
            <w:tcW w:w="8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GearHead Entertainment, Inc.</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Pennsylvania</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Mission Studios, Inc.</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Illinois</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Inventory Management Systems, Inc.</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Delaware</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Jack of All Games, Inc. (1)</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New York</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Talonsoft, Inc.</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Delaware</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Take-Two Interactive Software Canada, Inc.</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Ontario</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Jack of All Games (Canada), Inc. (formerly Triad Distributors and Global Star Software) (2)</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Ontario</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T2 Developer, Inc.</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Delaware</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Gathering of Developers, Inc. (3)</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Texas</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Rockstar Games, Inc.</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Delaware</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Wide Group Studios, Inc. (formerly Broadband Studios)</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Delaware</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VLM Entertainment Group, Inc.</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Delaware</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PopTop Software, Inc.</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Missouri</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MaxCorp Limited</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Bermuda</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Barking Dog Studios Ltd. (2)</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Canada</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Angel Studios, Inc.</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Virginia</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Global Star Software, Inc.</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Delaware</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Indie Built, Inc.</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Delaware</w:t>
            </w:r>
          </w:p>
        </w:tc>
      </w:tr>
      <w:tr>
        <w:trPr>
          <w:trHeight w:val="222"/>
        </w:trPr>
        <w:tc>
          <w:tcPr>
            <w:tcW w:w="7700" w:type="dxa"/>
            <w:vAlign w:val="bottom"/>
            <w:gridSpan w:val="5"/>
          </w:tcPr>
          <w:p>
            <w:pPr>
              <w:spacing w:after="0"/>
              <w:rPr>
                <w:sz w:val="20"/>
                <w:szCs w:val="20"/>
                <w:color w:val="auto"/>
              </w:rPr>
            </w:pPr>
            <w:r>
              <w:rPr>
                <w:rFonts w:ascii="Arial" w:cs="Arial" w:eastAsia="Arial" w:hAnsi="Arial"/>
                <w:sz w:val="18"/>
                <w:szCs w:val="18"/>
                <w:color w:val="auto"/>
              </w:rPr>
              <w:t>Take-Two Licensing, Inc.</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Delaware</w:t>
            </w:r>
          </w:p>
        </w:tc>
      </w:tr>
      <w:tr>
        <w:trPr>
          <w:trHeight w:val="453"/>
        </w:trPr>
        <w:tc>
          <w:tcPr>
            <w:tcW w:w="7700" w:type="dxa"/>
            <w:vAlign w:val="bottom"/>
            <w:gridSpan w:val="5"/>
          </w:tcPr>
          <w:p>
            <w:pPr>
              <w:spacing w:after="0"/>
              <w:rPr>
                <w:sz w:val="20"/>
                <w:szCs w:val="20"/>
                <w:color w:val="auto"/>
              </w:rPr>
            </w:pPr>
            <w:r>
              <w:rPr>
                <w:rFonts w:ascii="Arial" w:cs="Arial" w:eastAsia="Arial" w:hAnsi="Arial"/>
                <w:sz w:val="18"/>
                <w:szCs w:val="18"/>
                <w:color w:val="auto"/>
              </w:rPr>
              <w:t>International Subsidiaries:</w:t>
            </w:r>
          </w:p>
        </w:tc>
        <w:tc>
          <w:tcPr>
            <w:tcW w:w="8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Take-Two Interactive Software Europe Limited</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United Kingdom</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Silvero Ltd (formerly Goldweb Services) (4)</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United Kingdom</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Take-Two Interactive France S.A. (5)</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France</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Take-Two Interactive GmbH (5)</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Germany</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Jack of All Games Austria GmbH (6)</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Austria</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Take-Two Interactive Software Pty. Ltd. (formerly DirectSoft Australia Pty. Ltd.)</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New South Wales, Australia</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Take-Two Interactive Software Pty. Ltd. (operating in New Zealand) (7)</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New South Wales, Australia</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Joytech Europe Limited (4)</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United Kingdom</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DMA Design Holdings Limited</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United Kingdom</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Rockstar North Ltd. (formerly DMA Design Limited) (8)</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United Kingdom</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JOAG Scandinavia A.S. (formerly FunSoft Nordic A.S.)</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Norway</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Take 2 Nordic A/S (formerly Jack of All Games A.S.) (9)</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Italy</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JOAG Italy Spa (formerly C.D. Verte Italia Spa)</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Denmark</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Neo Software Produktions GmbH</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Austria</w:t>
            </w: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Take 2 Interactive Benelux B.V. (4)</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Netherlands</w:t>
            </w:r>
          </w:p>
        </w:tc>
      </w:tr>
      <w:tr>
        <w:trPr>
          <w:trHeight w:val="222"/>
        </w:trPr>
        <w:tc>
          <w:tcPr>
            <w:tcW w:w="7700" w:type="dxa"/>
            <w:vAlign w:val="bottom"/>
            <w:gridSpan w:val="5"/>
          </w:tcPr>
          <w:p>
            <w:pPr>
              <w:spacing w:after="0"/>
              <w:rPr>
                <w:sz w:val="20"/>
                <w:szCs w:val="20"/>
                <w:color w:val="auto"/>
              </w:rPr>
            </w:pPr>
            <w:r>
              <w:rPr>
                <w:rFonts w:ascii="Arial" w:cs="Arial" w:eastAsia="Arial" w:hAnsi="Arial"/>
                <w:sz w:val="18"/>
                <w:szCs w:val="18"/>
                <w:color w:val="auto"/>
              </w:rPr>
              <w:t>Venom Games Limited</w:t>
            </w:r>
          </w:p>
        </w:tc>
        <w:tc>
          <w:tcPr>
            <w:tcW w:w="3740" w:type="dxa"/>
            <w:vAlign w:val="bottom"/>
            <w:gridSpan w:val="3"/>
          </w:tcPr>
          <w:p>
            <w:pPr>
              <w:ind w:left="860"/>
              <w:spacing w:after="0"/>
              <w:rPr>
                <w:sz w:val="20"/>
                <w:szCs w:val="20"/>
                <w:color w:val="auto"/>
              </w:rPr>
            </w:pPr>
            <w:r>
              <w:rPr>
                <w:rFonts w:ascii="Arial" w:cs="Arial" w:eastAsia="Arial" w:hAnsi="Arial"/>
                <w:sz w:val="18"/>
                <w:szCs w:val="18"/>
                <w:color w:val="auto"/>
              </w:rPr>
              <w:t>United Kingdom</w:t>
            </w:r>
          </w:p>
        </w:tc>
      </w:tr>
      <w:tr>
        <w:trPr>
          <w:trHeight w:val="110"/>
        </w:trPr>
        <w:tc>
          <w:tcPr>
            <w:tcW w:w="4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309"/>
        </w:trPr>
        <w:tc>
          <w:tcPr>
            <w:tcW w:w="7700" w:type="dxa"/>
            <w:vAlign w:val="bottom"/>
            <w:gridSpan w:val="5"/>
          </w:tcPr>
          <w:p>
            <w:pPr>
              <w:spacing w:after="0"/>
              <w:rPr>
                <w:sz w:val="20"/>
                <w:szCs w:val="20"/>
                <w:color w:val="auto"/>
              </w:rPr>
            </w:pPr>
            <w:r>
              <w:rPr>
                <w:rFonts w:ascii="Arial" w:cs="Arial" w:eastAsia="Arial" w:hAnsi="Arial"/>
                <w:sz w:val="18"/>
                <w:szCs w:val="18"/>
                <w:color w:val="auto"/>
              </w:rPr>
              <w:t>*   Unless otherwise noted, all entities are subsidiaries of Take-Two Interactive Software, Inc.</w:t>
            </w:r>
          </w:p>
        </w:tc>
        <w:tc>
          <w:tcPr>
            <w:tcW w:w="8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(1)  Subsidiary of Inventory Management Systems, Inc.</w:t>
            </w:r>
          </w:p>
        </w:tc>
        <w:tc>
          <w:tcPr>
            <w:tcW w:w="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(2)  Subsidiary of Take-Two Interactive Software Canada, Inc.</w:t>
            </w:r>
          </w:p>
        </w:tc>
        <w:tc>
          <w:tcPr>
            <w:tcW w:w="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(3)  Subsidiary of T2 Developer, Inc.</w:t>
            </w:r>
          </w:p>
        </w:tc>
        <w:tc>
          <w:tcPr>
            <w:tcW w:w="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(4)  Subsidiary of Take-Two Interactive Software Europe Limited</w:t>
            </w:r>
          </w:p>
        </w:tc>
        <w:tc>
          <w:tcPr>
            <w:tcW w:w="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(5)  Subsidiary of Silvero Ltd</w:t>
            </w:r>
          </w:p>
        </w:tc>
        <w:tc>
          <w:tcPr>
            <w:tcW w:w="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(6)  Subsidiary of Take-Two Interactive GmbH</w:t>
            </w:r>
          </w:p>
        </w:tc>
        <w:tc>
          <w:tcPr>
            <w:tcW w:w="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(7)  Subsidiary of Take-Two Interactive Software Pty. Ltd.</w:t>
            </w:r>
          </w:p>
        </w:tc>
        <w:tc>
          <w:tcPr>
            <w:tcW w:w="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700" w:type="dxa"/>
            <w:vAlign w:val="bottom"/>
            <w:gridSpan w:val="5"/>
          </w:tcPr>
          <w:p>
            <w:pPr>
              <w:spacing w:after="0"/>
              <w:rPr>
                <w:sz w:val="20"/>
                <w:szCs w:val="20"/>
                <w:color w:val="auto"/>
              </w:rPr>
            </w:pPr>
            <w:r>
              <w:rPr>
                <w:rFonts w:ascii="Arial" w:cs="Arial" w:eastAsia="Arial" w:hAnsi="Arial"/>
                <w:sz w:val="18"/>
                <w:szCs w:val="18"/>
                <w:color w:val="auto"/>
              </w:rPr>
              <w:t>(8)  Subsidiary of DMA Design Holdings Limited</w:t>
            </w:r>
          </w:p>
        </w:tc>
        <w:tc>
          <w:tcPr>
            <w:tcW w:w="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2"/>
        </w:trPr>
        <w:tc>
          <w:tcPr>
            <w:tcW w:w="7700" w:type="dxa"/>
            <w:vAlign w:val="bottom"/>
            <w:gridSpan w:val="5"/>
          </w:tcPr>
          <w:p>
            <w:pPr>
              <w:spacing w:after="0"/>
              <w:rPr>
                <w:sz w:val="20"/>
                <w:szCs w:val="20"/>
                <w:color w:val="auto"/>
              </w:rPr>
            </w:pPr>
            <w:r>
              <w:rPr>
                <w:rFonts w:ascii="Arial" w:cs="Arial" w:eastAsia="Arial" w:hAnsi="Arial"/>
                <w:sz w:val="18"/>
                <w:szCs w:val="18"/>
                <w:color w:val="auto"/>
              </w:rPr>
              <w:t>(9)  Subsidiary of JOAG Scandinavia A.S.</w:t>
            </w:r>
          </w:p>
        </w:tc>
        <w:tc>
          <w:tcPr>
            <w:tcW w:w="8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63"/>
        </w:trPr>
        <w:tc>
          <w:tcPr>
            <w:tcW w:w="4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Statements on Form S-8 (File Nos. 333-118985; 333-118984; 333-106171; 333-104479; 333-67306; 333-50033; 333-83065; 333-45708; 333-36986 and 333-53514) of Take-Two Interactive Software, Inc. of our report dated December 15, 2004 relating to the consolidated financial statements and financial statement schedule which is included in this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433705</wp:posOffset>
            </wp:positionV>
            <wp:extent cx="7267575" cy="215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CERTIFICATION OF CHIEF EXECUTIVE OFFICER</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Section 302 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Richard W. Roedel, Chief Executive Officer of Take-Two Interactive Software, Inc, certify that:</w:t>
      </w:r>
    </w:p>
    <w:p>
      <w:pPr>
        <w:spacing w:after="0" w:line="225" w:lineRule="exact"/>
        <w:rPr>
          <w:sz w:val="20"/>
          <w:szCs w:val="20"/>
          <w:color w:val="auto"/>
        </w:rPr>
      </w:pPr>
    </w:p>
    <w:p>
      <w:pPr>
        <w:ind w:left="740" w:hanging="390"/>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October 31, 2004 of Take-Two Interactive Software, Inc.;</w:t>
      </w:r>
    </w:p>
    <w:p>
      <w:pPr>
        <w:spacing w:after="0" w:line="225" w:lineRule="exact"/>
        <w:rPr>
          <w:rFonts w:ascii="Arial" w:cs="Arial" w:eastAsia="Arial" w:hAnsi="Arial"/>
          <w:sz w:val="18"/>
          <w:szCs w:val="18"/>
          <w:color w:val="auto"/>
        </w:rPr>
      </w:pPr>
    </w:p>
    <w:p>
      <w:pPr>
        <w:ind w:right="480" w:firstLine="350"/>
        <w:spacing w:after="0" w:line="370" w:lineRule="auto"/>
        <w:tabs>
          <w:tab w:leader="none" w:pos="737"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40" w:firstLine="350"/>
        <w:spacing w:after="0" w:line="332" w:lineRule="auto"/>
        <w:tabs>
          <w:tab w:leader="none" w:pos="737"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480" w:firstLine="350"/>
        <w:spacing w:after="0" w:line="268" w:lineRule="auto"/>
        <w:tabs>
          <w:tab w:leader="none" w:pos="7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ind w:right="100" w:firstLine="693"/>
        <w:spacing w:after="0" w:line="259" w:lineRule="auto"/>
        <w:tabs>
          <w:tab w:leader="none" w:pos="108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right="880" w:firstLine="693"/>
        <w:spacing w:after="0" w:line="332" w:lineRule="auto"/>
        <w:tabs>
          <w:tab w:leader="none" w:pos="1094"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right="380" w:firstLine="693"/>
        <w:spacing w:after="0" w:line="259" w:lineRule="auto"/>
        <w:tabs>
          <w:tab w:leader="none" w:pos="108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180" w:firstLine="350"/>
        <w:spacing w:after="0" w:line="332" w:lineRule="auto"/>
        <w:tabs>
          <w:tab w:leader="none" w:pos="737"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right="280" w:firstLine="693"/>
        <w:spacing w:after="0" w:line="268" w:lineRule="auto"/>
        <w:tabs>
          <w:tab w:leader="none" w:pos="108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right="240" w:firstLine="693"/>
        <w:spacing w:after="0" w:line="268" w:lineRule="auto"/>
        <w:tabs>
          <w:tab w:leader="none" w:pos="109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20"/>
                <w:szCs w:val="20"/>
                <w:color w:val="auto"/>
              </w:rPr>
            </w:pPr>
            <w:r>
              <w:rPr>
                <w:rFonts w:ascii="Arial" w:cs="Arial" w:eastAsia="Arial" w:hAnsi="Arial"/>
                <w:sz w:val="18"/>
                <w:szCs w:val="18"/>
                <w:color w:val="auto"/>
              </w:rPr>
              <w:t>Date: December 20, 2004</w:t>
            </w:r>
          </w:p>
        </w:tc>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Richard W. Roedel</w:t>
            </w:r>
          </w:p>
        </w:tc>
        <w:tc>
          <w:tcPr>
            <w:tcW w:w="4180" w:type="dxa"/>
            <w:vAlign w:val="bottom"/>
          </w:tcPr>
          <w:p>
            <w:pPr>
              <w:spacing w:after="0"/>
              <w:rPr>
                <w:sz w:val="18"/>
                <w:szCs w:val="18"/>
                <w:color w:val="auto"/>
              </w:rPr>
            </w:pPr>
          </w:p>
        </w:tc>
      </w:tr>
      <w:tr>
        <w:trPr>
          <w:trHeight w:val="248"/>
        </w:trPr>
        <w:tc>
          <w:tcPr>
            <w:tcW w:w="570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Richard W. Roedel</w:t>
            </w:r>
          </w:p>
        </w:tc>
      </w:tr>
      <w:tr>
        <w:trPr>
          <w:trHeight w:val="243"/>
        </w:trPr>
        <w:tc>
          <w:tcPr>
            <w:tcW w:w="570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r>
      <w:tr>
        <w:trPr>
          <w:trHeight w:val="944"/>
        </w:trPr>
        <w:tc>
          <w:tcPr>
            <w:tcW w:w="570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4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CERTIFICATION OF CHIEF FINANCIAL OFFICER</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Section 302 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Karl H. Winters, Chief Financial Officer of Take-Two Interactive Software, Inc, certify that:</w:t>
      </w:r>
    </w:p>
    <w:p>
      <w:pPr>
        <w:spacing w:after="0" w:line="225" w:lineRule="exact"/>
        <w:rPr>
          <w:sz w:val="20"/>
          <w:szCs w:val="20"/>
          <w:color w:val="auto"/>
        </w:rPr>
      </w:pPr>
    </w:p>
    <w:p>
      <w:pPr>
        <w:ind w:left="740" w:hanging="390"/>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October 31, 2004 of Take-Two Interactive Software, Inc.;</w:t>
      </w:r>
    </w:p>
    <w:p>
      <w:pPr>
        <w:spacing w:after="0" w:line="225" w:lineRule="exact"/>
        <w:rPr>
          <w:rFonts w:ascii="Arial" w:cs="Arial" w:eastAsia="Arial" w:hAnsi="Arial"/>
          <w:sz w:val="18"/>
          <w:szCs w:val="18"/>
          <w:color w:val="auto"/>
        </w:rPr>
      </w:pPr>
    </w:p>
    <w:p>
      <w:pPr>
        <w:ind w:right="480" w:firstLine="350"/>
        <w:spacing w:after="0" w:line="370" w:lineRule="auto"/>
        <w:tabs>
          <w:tab w:leader="none" w:pos="737"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40" w:firstLine="350"/>
        <w:spacing w:after="0" w:line="332" w:lineRule="auto"/>
        <w:tabs>
          <w:tab w:leader="none" w:pos="737"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480" w:firstLine="350"/>
        <w:spacing w:after="0" w:line="268" w:lineRule="auto"/>
        <w:tabs>
          <w:tab w:leader="none" w:pos="7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ind w:right="100" w:firstLine="693"/>
        <w:spacing w:after="0" w:line="259" w:lineRule="auto"/>
        <w:tabs>
          <w:tab w:leader="none" w:pos="108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right="880" w:firstLine="693"/>
        <w:spacing w:after="0" w:line="332" w:lineRule="auto"/>
        <w:tabs>
          <w:tab w:leader="none" w:pos="1094"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right="380" w:firstLine="693"/>
        <w:spacing w:after="0" w:line="259" w:lineRule="auto"/>
        <w:tabs>
          <w:tab w:leader="none" w:pos="108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180" w:firstLine="350"/>
        <w:spacing w:after="0" w:line="332" w:lineRule="auto"/>
        <w:tabs>
          <w:tab w:leader="none" w:pos="737"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right="280" w:firstLine="693"/>
        <w:spacing w:after="0" w:line="268" w:lineRule="auto"/>
        <w:tabs>
          <w:tab w:leader="none" w:pos="108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right="240" w:firstLine="693"/>
        <w:spacing w:after="0" w:line="268" w:lineRule="auto"/>
        <w:tabs>
          <w:tab w:leader="none" w:pos="109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20"/>
                <w:szCs w:val="20"/>
                <w:color w:val="auto"/>
              </w:rPr>
            </w:pPr>
            <w:r>
              <w:rPr>
                <w:rFonts w:ascii="Arial" w:cs="Arial" w:eastAsia="Arial" w:hAnsi="Arial"/>
                <w:sz w:val="18"/>
                <w:szCs w:val="18"/>
                <w:color w:val="auto"/>
              </w:rPr>
              <w:t>Date: December 20, 2004</w:t>
            </w: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Karl H. Winters</w:t>
            </w:r>
          </w:p>
        </w:tc>
        <w:tc>
          <w:tcPr>
            <w:tcW w:w="4400" w:type="dxa"/>
            <w:vAlign w:val="bottom"/>
          </w:tcPr>
          <w:p>
            <w:pPr>
              <w:spacing w:after="0"/>
              <w:rPr>
                <w:sz w:val="18"/>
                <w:szCs w:val="18"/>
                <w:color w:val="auto"/>
              </w:rPr>
            </w:pPr>
          </w:p>
        </w:tc>
      </w:tr>
      <w:tr>
        <w:trPr>
          <w:trHeight w:val="248"/>
        </w:trPr>
        <w:tc>
          <w:tcPr>
            <w:tcW w:w="570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Karl H. Winters</w:t>
            </w:r>
          </w:p>
        </w:tc>
      </w:tr>
      <w:tr>
        <w:trPr>
          <w:trHeight w:val="243"/>
        </w:trPr>
        <w:tc>
          <w:tcPr>
            <w:tcW w:w="570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701"/>
        </w:trPr>
        <w:tc>
          <w:tcPr>
            <w:tcW w:w="570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 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Annual Reportof Take-Two Interactive Software, Inc. (the “Company”) on Form 10-K for the year ended October 31, 2004 as filed with the Securities and Exchange Commission on the date hereof (the “Report”), I, Richard W. Roedel, as Chief Executive Officer of the Company, certify, pursuant to 18 U.S.C. SS 1350, as adopted pursuant to SS. 906 of the Sarbanes-Oxley Act of 2002, that:</w:t>
      </w:r>
    </w:p>
    <w:p>
      <w:pPr>
        <w:spacing w:after="0" w:line="194" w:lineRule="exact"/>
        <w:rPr>
          <w:sz w:val="20"/>
          <w:szCs w:val="20"/>
          <w:color w:val="auto"/>
        </w:rPr>
      </w:pPr>
    </w:p>
    <w:p>
      <w:pPr>
        <w:ind w:left="1020" w:hanging="337"/>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20" w:hanging="337"/>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20"/>
                <w:szCs w:val="20"/>
                <w:color w:val="auto"/>
              </w:rPr>
            </w:pPr>
            <w:r>
              <w:rPr>
                <w:rFonts w:ascii="Arial" w:cs="Arial" w:eastAsia="Arial" w:hAnsi="Arial"/>
                <w:sz w:val="18"/>
                <w:szCs w:val="18"/>
                <w:color w:val="auto"/>
              </w:rPr>
              <w:t>Date: December 20, 2004</w:t>
            </w:r>
          </w:p>
        </w:tc>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Richard W. Roedel</w:t>
            </w:r>
          </w:p>
        </w:tc>
        <w:tc>
          <w:tcPr>
            <w:tcW w:w="1160" w:type="dxa"/>
            <w:vAlign w:val="bottom"/>
          </w:tcPr>
          <w:p>
            <w:pPr>
              <w:spacing w:after="0"/>
              <w:rPr>
                <w:sz w:val="17"/>
                <w:szCs w:val="17"/>
                <w:color w:val="auto"/>
              </w:rPr>
            </w:pPr>
          </w:p>
        </w:tc>
      </w:tr>
      <w:tr>
        <w:trPr>
          <w:trHeight w:val="248"/>
        </w:trPr>
        <w:tc>
          <w:tcPr>
            <w:tcW w:w="5700" w:type="dxa"/>
            <w:vAlign w:val="bottom"/>
          </w:tcPr>
          <w:p>
            <w:pPr>
              <w:spacing w:after="0"/>
              <w:rPr>
                <w:sz w:val="21"/>
                <w:szCs w:val="21"/>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Richard W. Roedel</w:t>
            </w:r>
          </w:p>
        </w:tc>
      </w:tr>
      <w:tr>
        <w:trPr>
          <w:trHeight w:val="243"/>
        </w:trPr>
        <w:tc>
          <w:tcPr>
            <w:tcW w:w="5700" w:type="dxa"/>
            <w:vAlign w:val="bottom"/>
          </w:tcPr>
          <w:p>
            <w:pPr>
              <w:spacing w:after="0"/>
              <w:rPr>
                <w:sz w:val="21"/>
                <w:szCs w:val="21"/>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89"/>
              </w:rPr>
              <w:t>Chairman and Chief Executive Officer</w:t>
            </w:r>
          </w:p>
        </w:tc>
      </w:tr>
    </w:tbl>
    <w:p>
      <w:pPr>
        <w:spacing w:after="0" w:line="200" w:lineRule="exact"/>
        <w:rPr>
          <w:sz w:val="20"/>
          <w:szCs w:val="20"/>
          <w:color w:val="auto"/>
        </w:rPr>
      </w:pPr>
    </w:p>
    <w:p>
      <w:pPr>
        <w:spacing w:after="0" w:line="26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Take-Two Interactive Software, Inc. and will be retained by Take-Two Interactive Software,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15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Back to Index</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 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Annual Report of Take-Two Interactive Software, Inc. (the “Company”) on Form 10-K for the year ended October 31, 2004 as filed with the Securities and Exchange Commission on the date hereof (the “Report”), I, Karl H. Winters, as Chief Financial Officer of the Company, certify, pursuant to 18 U.S.C. SS 1350, as adopted pursuant to SS. 906 of the Sarbanes-Oxley Act of 2002, that:</w:t>
      </w:r>
    </w:p>
    <w:p>
      <w:pPr>
        <w:spacing w:after="0" w:line="194" w:lineRule="exact"/>
        <w:rPr>
          <w:sz w:val="20"/>
          <w:szCs w:val="20"/>
          <w:color w:val="auto"/>
        </w:rPr>
      </w:pPr>
    </w:p>
    <w:p>
      <w:pPr>
        <w:ind w:left="1020" w:hanging="337"/>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20" w:hanging="337"/>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20"/>
                <w:szCs w:val="20"/>
                <w:color w:val="auto"/>
              </w:rPr>
            </w:pPr>
            <w:r>
              <w:rPr>
                <w:rFonts w:ascii="Arial" w:cs="Arial" w:eastAsia="Arial" w:hAnsi="Arial"/>
                <w:sz w:val="18"/>
                <w:szCs w:val="18"/>
                <w:color w:val="auto"/>
              </w:rPr>
              <w:t>Date: December 20, 2004</w:t>
            </w: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Karl H. Winters</w:t>
            </w:r>
          </w:p>
        </w:tc>
        <w:tc>
          <w:tcPr>
            <w:tcW w:w="300" w:type="dxa"/>
            <w:vAlign w:val="bottom"/>
          </w:tcPr>
          <w:p>
            <w:pPr>
              <w:spacing w:after="0"/>
              <w:rPr>
                <w:sz w:val="17"/>
                <w:szCs w:val="17"/>
                <w:color w:val="auto"/>
              </w:rPr>
            </w:pPr>
          </w:p>
        </w:tc>
      </w:tr>
      <w:tr>
        <w:trPr>
          <w:trHeight w:val="248"/>
        </w:trPr>
        <w:tc>
          <w:tcPr>
            <w:tcW w:w="5700" w:type="dxa"/>
            <w:vAlign w:val="bottom"/>
          </w:tcPr>
          <w:p>
            <w:pPr>
              <w:spacing w:after="0"/>
              <w:rPr>
                <w:sz w:val="21"/>
                <w:szCs w:val="21"/>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Karl H. Winters</w:t>
            </w:r>
          </w:p>
        </w:tc>
      </w:tr>
      <w:tr>
        <w:trPr>
          <w:trHeight w:val="243"/>
        </w:trPr>
        <w:tc>
          <w:tcPr>
            <w:tcW w:w="5700" w:type="dxa"/>
            <w:vAlign w:val="bottom"/>
          </w:tcPr>
          <w:p>
            <w:pPr>
              <w:spacing w:after="0"/>
              <w:rPr>
                <w:sz w:val="21"/>
                <w:szCs w:val="21"/>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w w:val="91"/>
              </w:rPr>
              <w:t>Chief Financial Officer</w:t>
            </w:r>
          </w:p>
        </w:tc>
      </w:tr>
    </w:tbl>
    <w:p>
      <w:pPr>
        <w:spacing w:after="0" w:line="22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Take-Two Interactive Software, Inc. and will be retained by Take-Two Interactive Software,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15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lowerLetter"/>
      <w:start w:val="1"/>
    </w:lvl>
    <w:lvl w:ilvl="1">
      <w:lvlJc w:val="left"/>
      <w:lvlText w:val="(%2)"/>
      <w:numFmt w:val="lowerRoman"/>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5"/>
    </w:lvl>
  </w:abstractNum>
  <w:abstractNum w:abstractNumId="8">
    <w:nsid w:val="3F2DBA31"/>
    <w:multiLevelType w:val="hybridMultilevel"/>
    <w:lvl w:ilvl="0">
      <w:lvlJc w:val="left"/>
      <w:lvlText w:val="(%1)"/>
      <w:numFmt w:val="lowerLetter"/>
      <w:start w:val="2"/>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2"/>
    </w:lvl>
  </w:abstractNum>
  <w:abstractNum w:abstractNumId="11">
    <w:nsid w:val="62BBD95A"/>
    <w:multiLevelType w:val="hybridMultilevel"/>
    <w:lvl w:ilvl="0">
      <w:lvlJc w:val="left"/>
      <w:lvlText w:val="%1."/>
      <w:numFmt w:val="decimal"/>
      <w:start w:val="3"/>
    </w:lvl>
  </w:abstractNum>
  <w:abstractNum w:abstractNumId="12">
    <w:nsid w:val="436C6125"/>
    <w:multiLevelType w:val="hybridMultilevel"/>
    <w:lvl w:ilvl="0">
      <w:lvlJc w:val="left"/>
      <w:lvlText w:val="%1."/>
      <w:numFmt w:val="decimal"/>
      <w:start w:val="7"/>
    </w:lvl>
  </w:abstractNum>
  <w:abstractNum w:abstractNumId="13">
    <w:nsid w:val="628C895D"/>
    <w:multiLevelType w:val="hybridMultilevel"/>
    <w:lvl w:ilvl="0">
      <w:lvlJc w:val="left"/>
      <w:lvlText w:val="%1."/>
      <w:numFmt w:val="decimal"/>
      <w:start w:val="9"/>
    </w:lvl>
  </w:abstractNum>
  <w:abstractNum w:abstractNumId="14">
    <w:nsid w:val="333AB105"/>
    <w:multiLevelType w:val="hybridMultilevel"/>
    <w:lvl w:ilvl="0">
      <w:lvlJc w:val="left"/>
      <w:lvlText w:val="%1."/>
      <w:numFmt w:val="decimal"/>
      <w:start w:val="11"/>
    </w:lvl>
  </w:abstractNum>
  <w:abstractNum w:abstractNumId="15">
    <w:nsid w:val="721DA317"/>
    <w:multiLevelType w:val="hybridMultilevel"/>
    <w:lvl w:ilvl="0">
      <w:lvlJc w:val="left"/>
      <w:lvlText w:val="%1."/>
      <w:numFmt w:val="decimal"/>
      <w:start w:val="12"/>
    </w:lvl>
  </w:abstractNum>
  <w:abstractNum w:abstractNumId="16">
    <w:nsid w:val="2443A858"/>
    <w:multiLevelType w:val="hybridMultilevel"/>
    <w:lvl w:ilvl="0">
      <w:lvlJc w:val="left"/>
      <w:lvlText w:val="%1."/>
      <w:numFmt w:val="decimal"/>
      <w:start w:val="14"/>
    </w:lvl>
  </w:abstractNum>
  <w:abstractNum w:abstractNumId="17">
    <w:nsid w:val="2D1D5AE9"/>
    <w:multiLevelType w:val="hybridMultilevel"/>
    <w:lvl w:ilvl="0">
      <w:lvlJc w:val="left"/>
      <w:lvlText w:val="%1."/>
      <w:numFmt w:val="decimal"/>
      <w:start w:val="16"/>
    </w:lvl>
  </w:abstractNum>
  <w:abstractNum w:abstractNumId="18">
    <w:nsid w:val="6763845E"/>
    <w:multiLevelType w:val="hybridMultilevel"/>
    <w:lvl w:ilvl="0">
      <w:lvlJc w:val="left"/>
      <w:lvlText w:val="%1."/>
      <w:numFmt w:val="decimal"/>
      <w:start w:val="17"/>
    </w:lvl>
  </w:abstractNum>
  <w:abstractNum w:abstractNumId="19">
    <w:nsid w:val="75A2A8D4"/>
    <w:multiLevelType w:val="hybridMultilevel"/>
    <w:lvl w:ilvl="0">
      <w:lvlJc w:val="left"/>
      <w:lvlText w:val="%1."/>
      <w:numFmt w:val="decimal"/>
      <w:start w:val="18"/>
    </w:lvl>
  </w:abstractNum>
  <w:abstractNum w:abstractNumId="20">
    <w:nsid w:val="8EDBDAB"/>
    <w:multiLevelType w:val="hybridMultilevel"/>
    <w:lvl w:ilvl="0">
      <w:lvlJc w:val="left"/>
      <w:lvlText w:val="%1."/>
      <w:numFmt w:val="decimal"/>
      <w:start w:val="19"/>
    </w:lvl>
  </w:abstractNum>
  <w:abstractNum w:abstractNumId="21">
    <w:nsid w:val="79838CB2"/>
    <w:multiLevelType w:val="hybridMultilevel"/>
    <w:lvl w:ilvl="0">
      <w:lvlJc w:val="left"/>
      <w:lvlText w:val="%1."/>
      <w:numFmt w:val="decimal"/>
      <w:start w:val="20"/>
    </w:lvl>
  </w:abstractNum>
  <w:abstractNum w:abstractNumId="22">
    <w:nsid w:val="4353D0CD"/>
    <w:multiLevelType w:val="hybridMultilevel"/>
    <w:lvl w:ilvl="0">
      <w:lvlJc w:val="left"/>
      <w:lvlText w:val="%1."/>
      <w:numFmt w:val="decimal"/>
      <w:start w:val="21"/>
    </w:lvl>
  </w:abstractNum>
  <w:abstractNum w:abstractNumId="23">
    <w:nsid w:val="B03E0C6"/>
    <w:multiLevelType w:val="hybridMultilevel"/>
    <w:lvl w:ilvl="0">
      <w:lvlJc w:val="left"/>
      <w:lvlText w:val="(%1)"/>
      <w:numFmt w:val="upperLetter"/>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2019-12-14T05:43:03Z</dcterms:created>
  <dcterms:modified xsi:type="dcterms:W3CDTF">2019-12-14T05:43:03Z</dcterms:modified>
</cp:coreProperties>
</file>