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Siminoff Ellen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25"/>
        <w:gridCol w:w="793"/>
        <w:gridCol w:w="614"/>
        <w:gridCol w:w="346"/>
        <w:gridCol w:w="780"/>
        <w:gridCol w:w="434"/>
        <w:gridCol w:w="853"/>
        <w:gridCol w:w="1138"/>
        <w:gridCol w:w="983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219.53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D&amp;E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219.53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EFS 2020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8,571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pursuant to a Rule 10b5-1 trading plan adopted by the D&amp;E Living Trust and the EFS 2020 Irrevocable Trust on February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directly by the D&amp;E Living Trust. The Reporting Person and David Siminoff serve as co-trustees and retain voting and dispositive power with respect to the shares held by the D&amp;E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directly by the EFS 2020 Irrevocable Trust. The Reporting Person serves as trustee and holds voting and dispositive power with respect to these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Ellen F. Siminoff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64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3658</Characters>
  <CharactersWithSpaces>4262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