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Goldstein Lainie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82"/>
        <w:gridCol w:w="449"/>
        <w:gridCol w:w="838"/>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1,335</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217.65</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282,039</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"sell to cover" election made by the Reporting Person for the sole purpose to satisfy the Reporting Person's tax withholding obligation upon the settlement of previously granted restricted units. This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118,250 shares of Common Stock, (ii) 26,659 unvested time-based restricted stock units and (iii) 137,130 unvested performance-based restricted stock units. Such unvested awards will vest, or fail to vest, in accordance with the terms of the applicable award agreements.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Lainie Goldstein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99513"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3626</Characters>
  <CharactersWithSpaces>4219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