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59.jpeg" ContentType="image/jpeg"/>
  <Override PartName="/word/media/image42.jpeg" ContentType="image/jpeg"/>
  <Override PartName="/word/media/image58.jpeg" ContentType="image/jpeg"/>
  <Override PartName="/word/media/image57.jpeg" ContentType="image/jpeg"/>
  <Override PartName="/word/media/image56.jpeg" ContentType="image/jpeg"/>
  <Override PartName="/word/media/image55.jpeg" ContentType="image/jpeg"/>
  <Override PartName="/word/media/image54.jpeg" ContentType="image/jpeg"/>
  <Override PartName="/word/media/image53.jpeg" ContentType="image/jpeg"/>
  <Override PartName="/word/media/image49.jpeg" ContentType="image/jpeg"/>
  <Override PartName="/word/media/image48.jpeg" ContentType="image/jpeg"/>
  <Override PartName="/word/media/image47.jpeg" ContentType="image/jpeg"/>
  <Override PartName="/word/media/image46.jpeg" ContentType="image/jpeg"/>
  <Override PartName="/word/media/image45.jpeg" ContentType="image/jpeg"/>
  <Override PartName="/word/media/image44.jpeg" ContentType="image/jpeg"/>
  <Override PartName="/word/media/image43.jpeg" ContentType="image/jpeg"/>
  <Override PartName="/word/media/image34.jpeg" ContentType="image/jpeg"/>
  <Override PartName="/word/media/image33.jpeg" ContentType="image/jpeg"/>
  <Override PartName="/word/media/image32.jpeg" ContentType="image/jpeg"/>
  <Override PartName="/word/media/image31.jpeg" ContentType="image/jpeg"/>
  <Override PartName="/word/media/image30.jpeg" ContentType="image/jpeg"/>
  <Override PartName="/word/media/image9.jpeg" ContentType="image/jpeg"/>
  <Override PartName="/word/media/image11.jpeg" ContentType="image/jpeg"/>
  <Override PartName="/word/media/image28.jpeg" ContentType="image/jpeg"/>
  <Override PartName="/word/media/image87.jpeg" ContentType="image/jpeg"/>
  <Override PartName="/word/media/image40.jpeg" ContentType="image/jpeg"/>
  <Override PartName="/word/media/image13.jpeg" ContentType="image/jpeg"/>
  <Override PartName="/word/media/image39.jpeg" ContentType="image/jpeg"/>
  <Override PartName="/word/media/image8.jpeg" ContentType="image/jpeg"/>
  <Override PartName="/word/media/image20.jpeg" ContentType="image/jpeg"/>
  <Override PartName="/word/media/image14.jpeg" ContentType="image/jpeg"/>
  <Override PartName="/word/media/image41.jpeg" ContentType="image/jpeg"/>
  <Override PartName="/word/media/image17.jpeg" ContentType="image/jpeg"/>
  <Override PartName="/word/media/image4.jpeg" ContentType="image/jpeg"/>
  <Override PartName="/word/media/image15.jpeg" ContentType="image/jpeg"/>
  <Override PartName="/word/media/image61.jpeg" ContentType="image/jpeg"/>
  <Override PartName="/word/media/image78.jpeg" ContentType="image/jpeg"/>
  <Override PartName="/word/media/image18.jpeg" ContentType="image/jpeg"/>
  <Override PartName="/word/media/image5.jpeg" ContentType="image/jpeg"/>
  <Override PartName="/word/media/image16.jpeg" ContentType="image/jpeg"/>
  <Override PartName="/word/media/image77.jpeg" ContentType="image/jpeg"/>
  <Override PartName="/word/media/image60.jpeg" ContentType="image/jpeg"/>
  <Override PartName="/word/media/image3.jpeg" ContentType="image/jpeg"/>
  <Override PartName="/word/media/image37.jpeg" ContentType="image/jpeg"/>
  <Override PartName="/word/media/image62.jpeg" ContentType="image/jpeg"/>
  <Override PartName="/word/media/image79.jpeg" ContentType="image/jpeg"/>
  <Override PartName="/word/media/image19.jpeg" ContentType="image/jpeg"/>
  <Override PartName="/word/media/image63.jpeg" ContentType="image/jpeg"/>
  <Override PartName="/word/media/image6.jpeg" ContentType="image/jpeg"/>
  <Override PartName="/word/media/image76.jpeg" ContentType="image/jpeg"/>
  <Override PartName="/word/media/image75.jpeg" ContentType="image/jpeg"/>
  <Override PartName="/word/media/image21.jpeg" ContentType="image/jpeg"/>
  <Override PartName="/word/media/image80.jpeg" ContentType="image/jpeg"/>
  <Override PartName="/word/media/image74.jpeg" ContentType="image/jpeg"/>
  <Override PartName="/word/media/image69.jpeg" ContentType="image/jpeg"/>
  <Override PartName="/word/media/image73.jpeg" ContentType="image/jpeg"/>
  <Override PartName="/word/media/image68.jpeg" ContentType="image/jpeg"/>
  <Override PartName="/word/media/image72.jpeg" ContentType="image/jpeg"/>
  <Override PartName="/word/media/image67.jpeg" ContentType="image/jpeg"/>
  <Override PartName="/word/media/image71.jpeg" ContentType="image/jpeg"/>
  <Override PartName="/word/media/image66.jpeg" ContentType="image/jpeg"/>
  <Override PartName="/word/media/image70.jpeg" ContentType="image/jpeg"/>
  <Override PartName="/word/media/image65.jpeg" ContentType="image/jpeg"/>
  <Override PartName="/word/media/image64.jpeg" ContentType="image/jpeg"/>
  <Override PartName="/word/media/image7.jpeg" ContentType="image/jpeg"/>
  <Override PartName="/word/media/image38.jpeg" ContentType="image/jpeg"/>
  <Override PartName="/word/media/image81.jpeg" ContentType="image/jpeg"/>
  <Override PartName="/word/media/image22.jpeg" ContentType="image/jpeg"/>
  <Override PartName="/word/media/image1.jpeg" ContentType="image/jpeg"/>
  <Override PartName="/word/media/image35.jpeg" ContentType="image/jpeg"/>
  <Override PartName="/word/media/image82.jpeg" ContentType="image/jpeg"/>
  <Override PartName="/word/media/image23.jpeg" ContentType="image/jpeg"/>
  <Override PartName="/word/media/image2.jpeg" ContentType="image/jpeg"/>
  <Override PartName="/word/media/image36.jpeg" ContentType="image/jpeg"/>
  <Override PartName="/word/media/image83.jpeg" ContentType="image/jpeg"/>
  <Override PartName="/word/media/image24.jpeg" ContentType="image/jpeg"/>
  <Override PartName="/word/media/image84.jpeg" ContentType="image/jpeg"/>
  <Override PartName="/word/media/image25.jpeg" ContentType="image/jpeg"/>
  <Override PartName="/word/media/image85.jpeg" ContentType="image/jpeg"/>
  <Override PartName="/word/media/image26.jpeg" ContentType="image/jpeg"/>
  <Override PartName="/word/media/image50.jpeg" ContentType="image/jpeg"/>
  <Override PartName="/word/media/image51.jpeg" ContentType="image/jpeg"/>
  <Override PartName="/word/media/image88.jpeg" ContentType="image/jpeg"/>
  <Override PartName="/word/media/image12.jpeg" ContentType="image/jpeg"/>
  <Override PartName="/word/media/image29.jpeg" ContentType="image/jpeg"/>
  <Override PartName="/word/media/image52.jpeg" ContentType="image/jpeg"/>
  <Override PartName="/word/media/image10.jpeg" ContentType="image/jpeg"/>
  <Override PartName="/word/media/image27.jpeg" ContentType="image/jpeg"/>
  <Override PartName="/word/media/image86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UNITED STATES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SECURITIES AND EXCHANGE COMMISSION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Washington, D.C. 20549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3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32"/>
          <w:u w:val="none"/>
          <w:effect w:val="none"/>
        </w:rPr>
        <w:t>SCHEDULE 14A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Proxy Statement Pursuant to Section 14(a) of the Securities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Exchange Act of 1934 (Amendment No.  )</w:t>
      </w:r>
    </w:p>
    <w:tbl>
      <w:tblPr>
        <w:tblW w:w="65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2056"/>
        <w:gridCol w:w="461"/>
        <w:gridCol w:w="3586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i-1"/>
            <w:bookmarkEnd w:id="0"/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Filed by the Registrant</w:t>
            </w:r>
          </w:p>
        </w:tc>
        <w:tc>
          <w:tcPr>
            <w:tcW w:w="4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i-2"/>
            <w:bookmarkEnd w:id="1"/>
          </w:p>
        </w:tc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Filed by a Party other than the Registrant</w:t>
            </w:r>
          </w:p>
        </w:tc>
      </w:tr>
    </w:tbl>
    <w:tbl>
      <w:tblPr>
        <w:tblW w:w="73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6826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1F1F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  <w:t>Check the appropriate box: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" w:name="i-3"/>
            <w:bookmarkEnd w:id="2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Preliminary Proxy Statement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" w:name="i-4"/>
            <w:bookmarkEnd w:id="3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" w:name="i-5"/>
            <w:bookmarkEnd w:id="4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Definitive Proxy Statement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" w:name="i-6"/>
            <w:bookmarkEnd w:id="5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Definitive Additional Materials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" w:name="i-7"/>
            <w:bookmarkEnd w:id="6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40"/>
          <w:u w:val="none"/>
          <w:effect w:val="none"/>
        </w:rPr>
        <w:t>Take-Two Interactive Software, Inc.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14450" cy="11144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i-8"/>
      <w:bookmarkEnd w:id="7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tbl>
      <w:tblPr>
        <w:tblW w:w="91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8671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1F1F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  <w:t>Payment of Filing Fee (Check all boxes that apply):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" w:name="i-9"/>
            <w:bookmarkEnd w:id="8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No fee required.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" w:name="i-10"/>
            <w:bookmarkEnd w:id="9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Fee paid previously with preliminary materials.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" w:name="i-11"/>
            <w:bookmarkEnd w:id="10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Fee computed on table in exhibit required by Item 25(b) per Exchange Act Rules 14a-6(i)(1) and 0-11.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8298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i-12"/>
      <w:bookmarkEnd w:id="11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19215" cy="145415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21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i-13"/>
      <w:bookmarkEnd w:id="12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438785" cy="31115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i-14"/>
      <w:bookmarkEnd w:id="1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Fiscal year 2027 has the potential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to be a major inflection point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our Company, defined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groundbreaking entertainment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experiences, creative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operational excellence, and </w:t>
      </w:r>
    </w:p>
    <w:p>
      <w:pPr>
        <w:pStyle w:val="TextBody"/>
        <w:bidi w:val="0"/>
        <w:spacing w:lineRule="atLeast" w:line="240" w:before="0" w:after="0"/>
        <w:jc w:val="left"/>
        <w:rPr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record Net Bookings.</w:t>
      </w:r>
      <w:r>
        <w:rPr>
          <w:caps w:val="false"/>
          <w:smallCaps w:val="false"/>
          <w:strike w:val="false"/>
          <w:dstrike w:val="false"/>
          <w:color w:val="FFFFFF"/>
          <w:u w:val="none"/>
          <w:effect w:val="none"/>
          <w:shd w:fill="auto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TAKE-TWO INTERACTIVE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SOFTWARE, INC.</w:t>
      </w:r>
    </w:p>
    <w:p>
      <w:pPr>
        <w:pStyle w:val="TextBody"/>
        <w:bidi w:val="0"/>
        <w:spacing w:lineRule="atLeast" w:line="180" w:before="0" w:after="0"/>
        <w:jc w:val="left"/>
        <w:rPr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2"/>
          <w:u w:val="none"/>
          <w:effect w:val="none"/>
          <w:shd w:fill="auto" w:val="clear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Street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New York, NY 10036, USA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Tel 646.536.2842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Fax 646.536.2926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www.take2games.com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438785" cy="31115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i-15"/>
      <w:bookmarkEnd w:id="14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EE2724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EE2724"/>
          <w:sz w:val="18"/>
          <w:u w:val="none"/>
          <w:effect w:val="none"/>
        </w:rPr>
        <w:t>Preliminary Proxy Statement - Subject to Completion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LETTER TO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OUR SHAREHOLDERS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Strauss Zelnick |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July __, 2026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Dear Shareholders: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delivered outstanding f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results, including Net Bookings of $6.72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was approximately $750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above our initial guidance. Each of our labels exceeded our initial expectations –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NBA 2K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delivered record Net Bookings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spending; Zynga achieved its highest level of Net Bookings since we acquired the business in 2022;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Rockstar’s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Grand Theft Auto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series continued to drive significant Net Bookings and deep engagement with its passionate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community of players.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are excited about the future and the opportunities that lie ahead – for our players, our Company, and our shareholders.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has the potential to be a major inflection point for our Company, defined by groundbreaking entertainment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experiences – led by the planned November 19th release of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Grand Theft Auto VI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–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creative and operational excellence,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record Net Bookings. Backed by our flexible balance sheet and expected operating cash flow of more than $1 billion this fiscal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year, we are positioned to realize the creative and commercial potential of our franchises, pursue accretive M&amp;A opportunities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invest in technology that will unlock greater creative capabilities and operational efficiencies across our organization.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exceedingly optimistic that these efforts will drive continued success and long-term shareholder value.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invite you to attend the Annual Meeting of Shareholders of Take-Two Interactive Software, Inc. that will be held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 17, 2026, at 9:00 a.m. eastern time as a virtual, audio-only meeting hosted online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www.virtualshareholdermeeting.com/TTWO2026.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Details of the business to be conducted at the Annual Meeting are provided in the attached Notice of Annual Meeting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and Proxy Statement, which you are urged to read carefully. On or about August 3, 2026, we expect to begin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mailing to our shareholders a Notice of Internet Availability of Proxy Materials containing instructions on how to access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Statement and Annual Report and vote online. If you would like to receive a paper copy of our Proxy Statement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Report, please follow the instructions included in the Notice of Internet Availability of Proxy Materials.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Whether you plan to attend the meeting or not, it is important that your shares be represented and voted. After you read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Notice of Annual Meeting of Shareholders and Proxy Statement, we urge you to cast your vote via the Internet, by completing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returning your proxy card, or by telephone. If the address on the Notice of Internet Availability of Proxy Materials 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accompanying materials is incorrect, please advise our Transfer Agent, Equiniti Trust Company LLC, in writing at 55 Challenger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Road, Floor 2, Ridgefield Park, NJ 07660.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hope that you will attend the meeting and appreciate your continued support.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Sincerely,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0" cy="281305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i-16"/>
      <w:bookmarkEnd w:id="15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Strauss Zelnick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Executive Chairman and Chief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923290" cy="77660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i-17"/>
      <w:bookmarkEnd w:id="16"/>
    </w:p>
    <w:p>
      <w:pPr>
        <w:pStyle w:val="TextBody"/>
        <w:bidi w:val="0"/>
        <w:spacing w:lineRule="atLeast" w:line="6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  <w:t>NOTICE OF ANNUAL</w:t>
      </w:r>
    </w:p>
    <w:p>
      <w:pPr>
        <w:pStyle w:val="TextBody"/>
        <w:bidi w:val="0"/>
        <w:spacing w:lineRule="atLeast" w:line="6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  <w:t>MEETING OF SHAREHOLDERS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SEPTEMBER 17, 2026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9:00 a.m.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local time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011680" cy="2667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i-18"/>
      <w:bookmarkEnd w:id="17"/>
    </w:p>
    <w:tbl>
      <w:tblPr>
        <w:tblW w:w="33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5"/>
        <w:gridCol w:w="109"/>
        <w:gridCol w:w="2611"/>
      </w:tblGrid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2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  <w:t xml:space="preserve">REVIEW YOUR PROXY STATEMENT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  <w:t>AND VOTE IN ONE OF THREE WAYS: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25527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25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" w:name="i-19"/>
            <w:bookmarkEnd w:id="18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INTERNET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Visit the website on your proxy card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0185" cy="35941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" w:name="i-20"/>
            <w:bookmarkEnd w:id="19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BY TELEPHONE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Call the telephone number on your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proxy card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233680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" w:name="i-21"/>
            <w:bookmarkEnd w:id="2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BY MAIL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Sign, date and return your proxy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card in the enclosed envelope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  <w:t>Your vote is very important, regardless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  <w:t>the number of shares you own.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Please read the attached Proxy Statement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carefully and complete and submit your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proxy card via the Internet or telephone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(as instructed on your proxy card) or sign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and date your paper proxy card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promptly as possible and return it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enclosed envelope.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VIRTUAL, AUDIO-ONLY MEETING HOSTED ONLINE AT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www.virtualshareholdermeeting.com/TTWO2026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0"/>
          <w:u w:val="none"/>
          <w:effect w:val="none"/>
        </w:rPr>
        <w:t>ITEMS OF BUSINESS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1.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Election of 10 directors;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2.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Approval, on a non-binding advisory basis, of the compensation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named executive officers” as disclosed in the attached Proxy Statement;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3.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 to limit the liability of certain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 as permitted by Delaware law;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4.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Ratification of the appointment of Ernst &amp; Young LLP as our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registered public accounting firm for the fiscal year ending March 31, 2027;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5.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business that may properly come before the Annual Meeting or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adjournment thereof.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RECORD DATE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Only shareholders of record at the close of business on July 23,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entitled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notice of and to vote at the Annual Meeting or any adjournment thereof.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that the election of the nominated directors,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on an advisory basis of the compensation of the named executive officers,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Inc., and the ratification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 &amp; Young LLP are in the best interests of the Company and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and, accordingly, recommends a vote “FOR” for each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 proposals.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attend our Annual Meeting via the Internet,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ask questions relevant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 of the meeting during the Annual Meeting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you must log in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www.virtualshareholdermeeting.com/TTWO2026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enter the 16-digit control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number on the Notice of Internet Availability of Proxy Materials or proxy card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accompanied the proxy materials.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084705" cy="29210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2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1" w:name="i-22"/>
      <w:bookmarkEnd w:id="21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By Order of the Board of Directors,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0" cy="389890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" w:name="i-23"/>
      <w:bookmarkEnd w:id="22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Matthew K. Breitman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Chief Governance Officer and Corporate Secretary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July __,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Annual Meeting of Shareholders to be held on September 17,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 is furnished in connection with the solicitation of proxies by the Board of Directors of Take-Two Interactive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Software, Inc. (the “Company” or “Take-Two”) for use at the Annual Meeting of Shareholders (the “Annual Meeting”) to be held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September 17, 2026, at 9:00 a.m.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local time, including any adjournment or adjournments thereof, for the purposes set forth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accompanying Notice of Annual Meeting of Shareholders.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expects to either mail or provide notice and electronic delivery of this Proxy Statement and the enclosed form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to shareholders on or about August 3,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Proxies in the accompanying form, duly executed and returned to the management of the Company and not revoked, will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voted at the Annual Meeting. A proxy may be revoked by the shareholder of record at any time prior to the voting of the proxy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subsequently dated proxy, by written notification to the Secretary of the Company, or by personally withdrawing the proxy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Annual Meeting and voting at the Annual Meeting.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address of the principal executive offices of the Company is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 New York 10036, and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telephone number is (646) 536-2842.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rules of the Securities and Exchange Commission (“SEC”) require us to notify all shareholders, including those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whom we have mailed proxy materials, of the availability of our proxy materials through the Internet.</w:t>
      </w:r>
    </w:p>
    <w:tbl>
      <w:tblPr>
        <w:tblW w:w="705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67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Important Notice Regarding the Availability of Proxy Materials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the Shareholder Meeting to be held on September 17, 2026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Our Proxy Statement and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Annual Report to Shareholders are available at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http://www.proxyvote.com</w:t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TABLE OF CONTENTS</w:t>
      </w:r>
    </w:p>
    <w:tbl>
      <w:tblPr>
        <w:tblW w:w="4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26"/>
        <w:gridCol w:w="361"/>
      </w:tblGrid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Proxy Summary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3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Proposal 1: Election 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3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4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Corporate Governance and Board Practices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4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Leadership Structure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Committees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17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Selection Process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Attendance at Shareholder Meetings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Meetings 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Oversight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20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Sustainability Matters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21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and Governance Policies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22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Executive Officers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2: Non-binding Advisory Vote to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Approve the Compensation of the Company’s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Named Executive Officers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7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 Summary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Detailed Discussion and Analysis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I. Objectives and Philosophy of Executive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II. Competitive Market Positioning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III. Compensation to Executive Chairman and CEO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and President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IV. Other NEO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40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V. Principal Elements of Non-ZMC Related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 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41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VI. Operation of the Compensation Committee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VII. Compensation Governance Practices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Report of the Compensation Committee of the Board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Risk Assessment of Overall Compensation Program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ed2e19b3f4794281a776c57664cc980c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1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Executive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1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49</w:t>
              </w:r>
            </w:hyperlink>
          </w:p>
        </w:tc>
      </w:tr>
    </w:tbl>
    <w:tbl>
      <w:tblPr>
        <w:tblW w:w="46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01"/>
        <w:gridCol w:w="451"/>
      </w:tblGrid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Voting Security Ownership of Certain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Beneficial Owners and Management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68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Certain Relationships and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Related Transactions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70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Section 16(a) Beneficial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Ownership Compliance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77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3: Approval of a Certificate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Amendment to the Restated Certificate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Incorporation of the Company to Limit the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Liability of Certain Officers as Permitted by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Delaware Law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4: Ratification of Appointment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Independent Registered Public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Accounting Firm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80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Independent Registered Public Accountants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0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81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Report of the Audit Committee of the Board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of Directors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82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Cautionary Note About Forward-Looking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Statements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Information about the Annual Meeting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and Voting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1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Availability of Certain Documents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No Incorporation By Reference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Shareholder Proposals for Next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Annual Meeting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Other Matters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2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Annex A—Reconciliation of GAAP Net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Income to Adjusted EBITDA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A-1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Annex B—Certificate of Amendment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Restated Certificate of Incorporation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Take-Two Interactive Software, Inc.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ed2e19b3f4794281a776c57664cc980c_23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B-1</w:t>
              </w:r>
            </w:hyperlink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summary highlights information contained elsewhere in this Proxy Statement and does not include all of the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you should consider. Please read the entire Proxy Statement carefully before voting.</w:t>
      </w:r>
    </w:p>
    <w:p>
      <w:pPr>
        <w:pStyle w:val="TextBody"/>
        <w:bidi w:val="0"/>
        <w:spacing w:lineRule="atLeast" w:line="280" w:before="0" w:after="0"/>
        <w:jc w:val="left"/>
        <w:rPr>
          <w:sz w:val="28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Annual Meeting of Shareholders</w:t>
      </w:r>
    </w:p>
    <w:tbl>
      <w:tblPr>
        <w:tblW w:w="71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621"/>
        <w:gridCol w:w="109"/>
        <w:gridCol w:w="3931"/>
        <w:gridCol w:w="109"/>
        <w:gridCol w:w="10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Time and 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Location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Record Date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September 17, 2026,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at 9:00 a.m.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Virtual, audio-only meeting hosted online at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www.virtualshareholdermeeting.com/TTWO2026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July 23, 2026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5861050" cy="721360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" w:name="i-24"/>
      <w:bookmarkEnd w:id="23"/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Voting Matters and Board Recommendations</w:t>
      </w:r>
    </w:p>
    <w:tbl>
      <w:tblPr>
        <w:tblW w:w="97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6"/>
        <w:gridCol w:w="7036"/>
        <w:gridCol w:w="1516"/>
        <w:gridCol w:w="781"/>
      </w:tblGrid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Item</w:t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Proposal</w:t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Board’s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Recommendation</w:t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Number</w:t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1.</w:t>
            </w:r>
          </w:p>
        </w:tc>
        <w:tc>
          <w:tcPr>
            <w:tcW w:w="703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Election of 10 director nominees</w:t>
            </w:r>
          </w:p>
        </w:tc>
        <w:tc>
          <w:tcPr>
            <w:tcW w:w="1516" w:type="dxa"/>
            <w:tcBorders>
              <w:bottom w:val="single" w:sz="2" w:space="0" w:color="8C8D8F"/>
            </w:tcBorders>
            <w:shd w:fill="F3F3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(each nominee)</w:t>
            </w:r>
          </w:p>
        </w:tc>
        <w:tc>
          <w:tcPr>
            <w:tcW w:w="7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3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2.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Advisory vote to approve executive compensation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 xml:space="preserve">3. 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Approval of a certificate of amendment to the Restated Certificate of Incorporation of Take-Two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Interactive Software, Inc. to limit the liability of certain officers as permitted by Delaware law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78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4.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Ratification of the appointment of Ernst &amp; Young LLP as our independent registered public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accounting firm for the fiscal year ending March 31, 2027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7"/>
                <w:u w:val="none"/>
                <w:effect w:val="none"/>
              </w:rPr>
              <w:t>(“fiscal 2027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>”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7"/>
                <w:u w:val="none"/>
                <w:effect w:val="none"/>
              </w:rPr>
              <w:t>)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80</w:t>
              </w:r>
            </w:hyperlink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Company Performance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delivered strong financial results in the fiscal year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2026</w:t>
      </w:r>
      <w:r>
        <w:rPr>
          <w:strike w:val="false"/>
          <w:dstrike w:val="false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 driven by continued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execution of our strategy to develop and publish high-quality interactive entertainment experiences across a diverse range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 genres.</w:t>
      </w:r>
    </w:p>
    <w:tbl>
      <w:tblPr>
        <w:tblW w:w="98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562"/>
        <w:gridCol w:w="1171"/>
        <w:gridCol w:w="796"/>
        <w:gridCol w:w="109"/>
        <w:gridCol w:w="109"/>
        <w:gridCol w:w="2281"/>
        <w:gridCol w:w="562"/>
        <w:gridCol w:w="1171"/>
        <w:gridCol w:w="84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98" w:type="dxa"/>
            <w:gridSpan w:val="10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Fiscal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Financial and Operating Results</w:t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2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Revenue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$6.66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Billion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Bookings (operating metric)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>$6.72</w:t>
            </w:r>
            <w:r>
              <w:rPr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>Billion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2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Revenue by Platform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Console, PC and Other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$3.32</w:t>
            </w:r>
            <w:r>
              <w:rPr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2260" cy="164465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16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" w:name="i-25"/>
            <w:bookmarkEnd w:id="24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49.9%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 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z w:val="16"/>
              </w:rPr>
            </w:pPr>
            <w:r>
              <w:rPr>
                <w:rFonts w:ascii="Arial;sans-serif" w:hAnsi="Arial;sans-serif"/>
                <w:b w:val="false"/>
                <w:i/>
                <w:sz w:val="16"/>
              </w:rPr>
              <w:t>(virtual currency, add-on content, and in-game purchases)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Mobile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$5.20</w:t>
            </w:r>
            <w:r>
              <w:rPr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2260" cy="164465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16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" w:name="i-26"/>
            <w:bookmarkEnd w:id="25"/>
          </w:p>
        </w:tc>
        <w:tc>
          <w:tcPr>
            <w:tcW w:w="117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78.1%</w:t>
            </w:r>
          </w:p>
        </w:tc>
        <w:tc>
          <w:tcPr>
            <w:tcW w:w="8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$3.33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163195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" w:name="i-27"/>
            <w:bookmarkEnd w:id="26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50.1%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6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08420" cy="1895475"/>
            <wp:effectExtent l="0" t="0" r="0" b="0"/>
            <wp:docPr id="28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7" w:name="i-28"/>
      <w:bookmarkEnd w:id="27"/>
    </w:p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OF DIRECTORS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of Directors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10 nominees include nine independent, outside directors who as a gro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 have extensive management experience, subject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matter expertise, and knowledge that is critical to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Best Practices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76060" cy="2132965"/>
            <wp:effectExtent l="0" t="0" r="0" b="0"/>
            <wp:docPr id="29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6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8" w:name="i-29"/>
      <w:bookmarkEnd w:id="28"/>
    </w:p>
    <w:tbl>
      <w:tblPr>
        <w:tblW w:w="49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4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" w:name="i-30"/>
            <w:bookmarkEnd w:id="29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Active and empowered lead independent director role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" w:name="i-31"/>
            <w:bookmarkEnd w:id="30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Deliberate approach to Board refreshment, including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addition of five new independent directors in the past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nine years (50% of the board), and rotation of leadership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positions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" w:name="i-32"/>
            <w:bookmarkEnd w:id="31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Annual election of all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3" name="Image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" w:name="i-33"/>
            <w:bookmarkEnd w:id="32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Annual self-evaluations by the Board of Directors and its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Committees, as well as biennial individual interviews of each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director by an outside third party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4" name="Image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" w:name="i-34"/>
            <w:bookmarkEnd w:id="33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Majority vote standard for uncontested director elections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48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5" name="Image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" w:name="i-35"/>
            <w:bookmarkEnd w:id="34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9 out of 10 (i.e. 90%) current director nominees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are independent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" w:name="i-36"/>
            <w:bookmarkEnd w:id="35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Board membership marked by leadership and diversity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 perspectives and composition with 30% women directors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30% ethnically diverse directors; overall, 50% of the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Board is ethnically and/or gender diverse.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" w:name="i-37"/>
            <w:bookmarkEnd w:id="3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Outside Directorship Policy pursuant to which none of our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directors may serve on more than 3 other public boards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" w:name="i-38"/>
            <w:bookmarkEnd w:id="37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Annual performance review of the Chairman and CEO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members of the executive management team by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independent directors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Composition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57"/>
        <w:gridCol w:w="421"/>
        <w:gridCol w:w="901"/>
        <w:gridCol w:w="676"/>
        <w:gridCol w:w="541"/>
        <w:gridCol w:w="1276"/>
        <w:gridCol w:w="1066"/>
        <w:gridCol w:w="871"/>
        <w:gridCol w:w="1096"/>
      </w:tblGrid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left w:val="single" w:sz="4" w:space="0" w:color="FFFFFF"/>
            </w:tcBorders>
            <w:shd w:fill="64BFA6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42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Age</w:t>
            </w:r>
          </w:p>
        </w:tc>
        <w:tc>
          <w:tcPr>
            <w:tcW w:w="9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Since</w:t>
            </w:r>
          </w:p>
        </w:tc>
        <w:tc>
          <w:tcPr>
            <w:tcW w:w="676" w:type="dxa"/>
            <w:tcBorders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Public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Boards</w:t>
            </w:r>
          </w:p>
        </w:tc>
        <w:tc>
          <w:tcPr>
            <w:tcW w:w="541" w:type="dxa"/>
            <w:tcBorders>
              <w:left w:val="single" w:sz="4" w:space="0" w:color="FFFFFF"/>
            </w:tcBorders>
            <w:shd w:fill="64BFA6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8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Executive</w:t>
            </w:r>
          </w:p>
        </w:tc>
        <w:tc>
          <w:tcPr>
            <w:tcW w:w="10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Technology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Risk</w:t>
            </w:r>
          </w:p>
        </w:tc>
      </w:tr>
      <w:tr>
        <w:trPr/>
        <w:tc>
          <w:tcPr>
            <w:tcW w:w="3357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64BFA6"/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left w:val="single" w:sz="4" w:space="0" w:color="FFFFFF"/>
              <w:bottom w:val="single" w:sz="2" w:space="0" w:color="64BFA6"/>
            </w:tcBorders>
            <w:shd w:fill="64BFA6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LaVerne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Srinivasan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890" cy="9144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" w:name="i-39"/>
            <w:bookmarkEnd w:id="38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Lead Independent Director since September 21, 2023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Vice President, Carnegie Corporation of New York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9" w:name="i-40"/>
            <w:bookmarkEnd w:id="39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Michael Dornemann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1" name="Image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0" w:name="i-41"/>
            <w:bookmarkEnd w:id="40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Chairman and CEO, Bertelsmann Entertainment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2" name="Image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1" w:name="i-42"/>
            <w:bookmarkEnd w:id="41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3" name="Image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2" w:name="i-43"/>
            <w:bookmarkEnd w:id="42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William “Bing” Gordon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4" name="Image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3" w:name="i-44"/>
            <w:bookmarkEnd w:id="43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Partner, Kleiner Perkins Caufield &amp; Byers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76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5" name="Image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4" w:name="i-45"/>
            <w:bookmarkEnd w:id="44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Roland Hernandez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6" name="Image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5" w:name="i-46"/>
            <w:bookmarkEnd w:id="45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Founding Principal and CEO of Hernandez Media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Ventures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September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2019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7" name="Image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6" w:name="i-47"/>
            <w:bookmarkEnd w:id="46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48" name="Image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7" w:name="i-48"/>
            <w:bookmarkEnd w:id="47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J Moses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9" name="Image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8" w:name="i-49"/>
            <w:bookmarkEnd w:id="48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Principal, J Moses Projects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0" name="Image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9" w:name="i-50"/>
            <w:bookmarkEnd w:id="49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51" name="Image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0" w:name="i-51"/>
            <w:bookmarkEnd w:id="50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Michael Sheresky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2" name="Image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1" w:name="i-52"/>
            <w:bookmarkEnd w:id="51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Partner, United Talent Agency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53" name="Image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2" w:name="i-53"/>
            <w:bookmarkEnd w:id="52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Ellen Siminoff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4" name="Image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3" w:name="i-54"/>
            <w:bookmarkEnd w:id="53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Seasoned media and technology executive and board member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5" name="Image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4" w:name="i-55"/>
            <w:bookmarkEnd w:id="54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6" name="Image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5" w:name="i-56"/>
            <w:bookmarkEnd w:id="55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Susan Tolson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7" name="Image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6" w:name="i-57"/>
            <w:bookmarkEnd w:id="56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Portfolio Manager, Capital Research and Management Company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2014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58" name="Image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7" w:name="i-58"/>
            <w:bookmarkEnd w:id="57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9" name="Image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8" w:name="i-59"/>
            <w:bookmarkEnd w:id="58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Paul Viera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60" name="Image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9" w:name="i-60"/>
            <w:bookmarkEnd w:id="59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CEO, Earnest Partners LLC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2018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1" name="Image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0" w:name="i-61"/>
            <w:bookmarkEnd w:id="60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Strauss Zelnick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Chairman and CEO, Take-Two Interactive Software, Inc.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69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1" w:name="i-62"/>
            <w:bookmarkEnd w:id="61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4" w:space="0" w:color="18333C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4" w:space="0" w:color="000000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8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5"/>
        <w:gridCol w:w="706"/>
        <w:gridCol w:w="302"/>
        <w:gridCol w:w="601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2" w:name="i-63"/>
            <w:bookmarkEnd w:id="62"/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Member</w:t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3" w:name="i-64"/>
            <w:bookmarkEnd w:id="63"/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</w:t>
            </w:r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SHAREHOLDER ENGAGEMENT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Shareholder Engagement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were pleased that our Say-on-Pay vote received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95%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support 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 following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 outreach efforts and actions to implement investor feedback. The Board of Directors continues to place a premium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our robust, year-round shareholder engagement practice, which facilitates an ongoing, two-way dialogue on topics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find most important. Our Board members are regular participants alongside management in these critically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important conversations where we discuss a diverse range of topics, including board, governance, sustainability, and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practices.</w:t>
      </w:r>
    </w:p>
    <w:tbl>
      <w:tblPr>
        <w:tblW w:w="10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4"/>
        <w:gridCol w:w="3367"/>
        <w:gridCol w:w="3418"/>
      </w:tblGrid>
      <w:tr>
        <w:trPr/>
        <w:tc>
          <w:tcPr>
            <w:tcW w:w="33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69" w:type="dxa"/>
            <w:gridSpan w:val="3"/>
            <w:tcBorders>
              <w:top w:val="single" w:sz="16" w:space="0" w:color="18333C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Shareholder Engagement Following the 2025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Annual Meeting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Shareholders Contacted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Engaged with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Director-Led Discussions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~56.4%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~31.8%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~28.3%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</w:tr>
      <w:tr>
        <w:trPr/>
        <w:tc>
          <w:tcPr>
            <w:tcW w:w="338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69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 xml:space="preserve">All percentages represent ownership of Take-Two outstanding common stock as reported by our shareholders’ most recent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filings as of the date of this Proxy Statement.</w:t>
            </w:r>
          </w:p>
        </w:tc>
      </w:tr>
      <w:tr>
        <w:trPr/>
        <w:tc>
          <w:tcPr>
            <w:tcW w:w="338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more information regarding the Company’s shareholder engagement, see “Compensation Discussion and Analysis-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Outreach.”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Sustainability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continued to focus on sustainability this year. We published our fourth Impact Report in September 2025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included select disclosure against the Sustainability Accounting Standards Board (SASB) Standards.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fifth Impact Report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scheduled to be published in September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We also publish a standalone report on the Task Force on Climate-Related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Financial Disclosure recommendations, which, along with a copy of our Impact Report, is posted on the Company’s website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at </w:t>
      </w:r>
      <w:r>
        <w:rPr>
          <w:rFonts w:ascii="Arial;sans-serif" w:hAnsi="Arial;sans-serif"/>
          <w:b w:val="false"/>
          <w:i/>
          <w:sz w:val="18"/>
          <w:u w:val="single"/>
        </w:rPr>
        <w:t>www.take2games.com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can be accessed by clicking on “Investors.” The information on our website referenced herein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incorporated by reference in this Proxy Statement.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provides oversight to this area through the Corporate Governance Committee, which oversees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reviews our sustainability strategy and guides long-term climate strategy. We are continuing to develop our sustainability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strategy and commitments to help drive positive change across our industry and society. See “Proposal 1: Election of Directors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—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and Board Practices—Sustainability Matters” for additional details.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Corporate Governance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sound governance practices and policies demonstrate the Board’s commitment to strong corporate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governance, effective risk management and robust independent oversight of management by the Board.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 highlights include: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095" cy="2426970"/>
            <wp:effectExtent l="0" t="0" r="0" b="0"/>
            <wp:docPr id="65" name="Image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5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5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4" w:name="i-65"/>
      <w:bookmarkEnd w:id="64"/>
    </w:p>
    <w:tbl>
      <w:tblPr>
        <w:tblW w:w="49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3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6" name="Image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5" w:name="i-66"/>
            <w:bookmarkEnd w:id="65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Extensive, year-round shareholder engagement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7" name="Image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6" w:name="i-67"/>
            <w:bookmarkEnd w:id="66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evaluation of the Board and its Committees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8" name="Image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7" w:name="i-68"/>
            <w:bookmarkEnd w:id="67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review of Board leadership structure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9" name="Image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8" w:name="i-69"/>
            <w:bookmarkEnd w:id="68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Ongoing review and refreshment of Board leadership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composition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0" name="Image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9" w:name="i-70"/>
            <w:bookmarkEnd w:id="69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Active process of evaluating and rotating committee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leadership positions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1" name="Image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0" w:name="i-71"/>
            <w:bookmarkEnd w:id="70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Lead Independent Director with clearly defined role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 responsibilities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2" name="Image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1" w:name="i-72"/>
            <w:bookmarkEnd w:id="71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Board oversight of risk management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Sustainability matters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201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3" name="Image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2" w:name="i-73"/>
            <w:bookmarkEnd w:id="72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right to call special meetings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4" name="Image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3" w:name="i-74"/>
            <w:bookmarkEnd w:id="73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right to act by written consent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5" name="Image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4" w:name="i-75"/>
            <w:bookmarkEnd w:id="74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supermajority voting requirements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6" name="Image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5" w:name="i-76"/>
            <w:bookmarkEnd w:id="75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Strong anti-hedging, anti-pledging and insider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trading policies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7" name="Image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6" w:name="i-77"/>
            <w:bookmarkEnd w:id="76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Independent Audit Committee, Compensation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 and Corporate Governance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8" name="Image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7" w:name="i-78"/>
            <w:bookmarkEnd w:id="77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Succession Planning oversight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9" name="Image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8" w:name="i-79"/>
            <w:bookmarkEnd w:id="78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review of Director Time Commitments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COMPENSATION PROGRAM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Executive Compensation Program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maintains strong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 practices that support our pay-for-performance principles and align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incentives with the interests of our shareholders. A substantial portion of our Company’s executive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opportunity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performance-based.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80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9" w:name="i-80"/>
      <w:bookmarkEnd w:id="79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81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0" w:name="i-81"/>
      <w:bookmarkEnd w:id="80"/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have also adopted a number of “best practices” with respect to executive compensation,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095" cy="2412365"/>
            <wp:effectExtent l="0" t="0" r="0" b="0"/>
            <wp:docPr id="82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1" w:name="i-82"/>
      <w:bookmarkEnd w:id="81"/>
    </w:p>
    <w:tbl>
      <w:tblPr>
        <w:tblW w:w="4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48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3" name="Image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2" w:name="i-83"/>
            <w:bookmarkEnd w:id="82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Clawback policy applicable to NEOs, including ZMC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Advisors, L.P. (“ZMC”)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4" name="Image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3" w:name="i-84"/>
            <w:bookmarkEnd w:id="83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caps on annual bonuses to NEOs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5" name="Image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4" w:name="i-85"/>
            <w:bookmarkEnd w:id="84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Strong anti-hedging and anti-pledging policies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6" name="Image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5" w:name="i-86"/>
            <w:bookmarkEnd w:id="85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Double-trigger acceleration of vesting on a change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 control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7" name="Image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6" w:name="i-87"/>
            <w:bookmarkEnd w:id="8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Meaningful stock ownership requirements (6x per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annum management fee, excluding any bonuses,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each of CEO/Chairman and President; 3x annual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base salary for other NEOs; and 5x annual cash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retainer for directors)</w:t>
            </w:r>
          </w:p>
        </w:tc>
      </w:tr>
    </w:tbl>
    <w:tbl>
      <w:tblPr>
        <w:tblW w:w="50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91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8" name="Image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7" w:name="i-88"/>
            <w:bookmarkEnd w:id="87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 incentive plan provisions that prohibit re-pricing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stock options without shareholder approval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9" name="Image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8" w:name="i-89"/>
            <w:bookmarkEnd w:id="88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Limited perquisites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0" name="Image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9" w:name="i-90"/>
            <w:bookmarkEnd w:id="89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tax gross ups in respect of any excise taxes 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parachute payments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1" name="Image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0" w:name="i-91"/>
            <w:bookmarkEnd w:id="90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compensation risk assessment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 plans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2" name="Image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1" w:name="i-92"/>
            <w:bookmarkEnd w:id="91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Retention of independent compensation consultants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 the Compensation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3" name="Image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2" w:name="i-93"/>
            <w:bookmarkEnd w:id="92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Balanced compensation approach between short-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long-term incentive opportunities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 members of the Board of Directors stand for election on an annual basis, and at the Annual Meeting 10 director nominees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stand for election to hold office for a term expiring at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of Shareholders. The Board of Directors,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the recommendation of the Corporate Governance Committee, has nominated the individuals named below. Each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is elected will serve until a successor is elected and qualified or until the director’s earlier resignation or removal.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Corporate Governance Committee is responsible for evaluating the size and composition of the Board of Directors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evolving needs of the Company at any given time, and actively identifying qualified individuals to become new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nominees as needed. The Corporate Governance Committee has developed criteria, including certain personal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professional qualities, to evaluate whether the potential nominee would be a qualified director candidate for service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Take-Two’s Board of 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10 nominees include nine independent, outside directors who as a group have extensive management experience, subject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 expertise, and knowledge that is critical to the Company. The average director tenure is approximately twelve years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age of the Board members is 67.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the Annual Meeting, the proxies given by shareholders will be voted individually for the election of the persons named herein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director nominees, unless a proxy card specifies that a shareholder is voting against any such nominee. If any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nominees listed below shall be unable to serve, it is intended that the proxy will be voted for such other nominees as may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designated by the Board of Directors. Each of the persons named herein has indicated to the Board of Directors that he or she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 available to serve as a director of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an uncontested election, a director will be elected if the number of votes that are cast “FOR” his or her election by holders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stock present in person or represented by proxy entitled to vote on the election of directors exceeds the number of votes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cast “AGAINST” his or her election by such holders. The Company’s bylaws provide that any nominee for director who fails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 this standard shall promptly tender such individual’s resignation to the Corporate Governance Committee following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certification of the shareholder vote. For more information regarding this policy, see “Policy on Majority Voting for Directors.”</w:t>
      </w:r>
    </w:p>
    <w:tbl>
      <w:tblPr>
        <w:tblW w:w="90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8701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94" name="Image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3" w:name="i-94"/>
            <w:bookmarkEnd w:id="93"/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THE BOARD OF DIRECTORS RECOMMENDS THAT SHAREHOLDERS VOTE 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7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color w:val="5FC0B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ELECTION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NOMINEES NAMED BELOW: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5"/>
        <w:gridCol w:w="109"/>
        <w:gridCol w:w="8161"/>
      </w:tblGrid>
      <w:tr>
        <w:trPr/>
        <w:tc>
          <w:tcPr>
            <w:tcW w:w="1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5" name="Image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4" w:name="i-95"/>
            <w:bookmarkEnd w:id="94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2017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LEAD 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Executive 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Beneficial owner of 8,719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LAVERNE SRINIVASAN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Srinivasan brings to the Board of Directors strong leadership skills, extensive experience leveraging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technology in the education and entertainment industries, expertise in human capital management, and deep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marketing expertise from her current and previous positions. Ms. Srinivasan became our Lead Independent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Director after our 2023 annual meeting and in that role uses the expertise she brings to the Board of Directors for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the oversight of our management agreement with ZMC as successor by assignment from ZelnickMedia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Corporation (“ZelnickMedia”).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Ms. Srinivasan was Vice President of the National Program and Program Director for Education at the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Carnegie Corporation of New York until September 2025, employing creative strategies and innovative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thinking to strengthen urban education.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2014 through September 2025, she oversaw grant making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other activities aimed at engaging parents and communities, improved teaching and leadership for learning,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advanced innovative learning environment designs, provided K-12 pathways to college and career success,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fostered integrated approaches to innovation and learning in the field of education. Ms. Srinivasan received a BA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Harvard College and a JD from Harvard Law School.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professional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2012 through 2014, Ms. Srinivasan was the Co-Founder of Fiero Now, an education technology company.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Fiero Now, she worked at various educational technology, urban district change, and non-profit education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reform companies, including Time to Know, Education Champions for All and New Leaders for New Schools.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2003 through 2006, Ms. Srinivasan served as Deputy Chancellor for the New York City Department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Education. In addition, from 1993 through 2003, she served in various roles at BMG Entertainment, including as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Senior Vice President and General Counsel.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Srinivasan serves as chairman of the board of Educational Testing Service, as a member of the national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advisory board of College Promise Campaign, as a member of the advisory boards of National Education Equity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Lab, EdTech Evidence Exchange, Global Science of Learning for Education Network, Global Cities, Inc.,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Transcend Inc., Urban Schools Human Capital Academy, and America’s Promise Alliance, and was a founding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member of the Consortium for Policy Research in Education’s task force on Strategic Management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Human Capital.</w:t>
            </w:r>
          </w:p>
        </w:tc>
      </w:tr>
      <w:tr>
        <w:trPr/>
        <w:tc>
          <w:tcPr>
            <w:tcW w:w="193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1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109"/>
        <w:gridCol w:w="8401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6" name="Image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5" w:name="i-96"/>
            <w:bookmarkEnd w:id="95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80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Executive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20,374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MICHAEL DORNEMANN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Dornemann’s highly relevant leadership, management, marketing and consulting experience, including his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role as Chief Executive Officer of Bertelsmann Entertainment, strongly qualifies him to contribute to all aspects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board discussion and operations. His accomplished history of service with fashion and entertainment companies,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including as an outside director, provides a unique level of insight into both our business and our governance.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Dornemann is an entertainment and marketing executive with more than 30 years of management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consulting, corporate development, strategic advisory and media experience.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2001,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Dornemann was an executive board member of Bertelsmann AG for 16 years and Chairman and Chief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Executive Officer of Bertelsmann Entertainment (music and television division, BMG and RTL Group). Before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that, he held positions with IBM and Boston Consulting Group. Mr. Dornemann received an MBA and PhD from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Technical University Berlin.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Dornemann has previously served on several boards, including as Chairman of Jet Set AG, a worldwide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fashion company based in Switzerland, until 2009; as a director of Columbia Music Entertainment (CME)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Japan until 2010; and as vice-chairman and an audit and compensation committee member of Access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Worldwide Communications until 2013.</w:t>
            </w:r>
          </w:p>
        </w:tc>
      </w:tr>
      <w:tr>
        <w:trPr/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16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7" name="Image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6" w:name="i-97"/>
            <w:bookmarkEnd w:id="96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76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57,187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WILLIAM “BING” GORDON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was selected to serve on our Board of Directors due to his extensive leadership and entrepreneurial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experience as a senior executive of Electronic Arts Inc. (“EA”), a company he co-founded and through which 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gained experience with emerging technologies and consumer-focused product development and marketing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issues, as well as for his experience as a member of the board of directors and special consultant to Zynga,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a venture capitalist investing in and guiding technology companies.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Gordon has been a partner at Kleiner Perkins Caufield &amp; Byers, a venture capital firm, since June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2008.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Gordon co-founded EA and held various roles, including Vice President, Marketing and later, Executive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Vice President and Chief Creative Officer from March 1998 to May 2008. Mr. Gordon received a BA from Yale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 and an MBA from Stanford Graduate School of Business.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Duolingo,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serves on the boards of directors of Duolingo, a language learning company; and privately held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companies including Dreamscape, a VR and learning systems company; Flipboard, a media sharing company;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Playcast, a game streaming platform; Aura, a private telephony safety company; Synthbee, a private AI agent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provider; Tacta, a private physical AI company in hand robotics; Cameo, a private media company; Playful.AI,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private AI games company; Nuna Health, a private Medicare gamification company; and Lord of the Games,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private board game design tools company. Mr. Gordon served as a member of the boards of directors of Zynga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Inc. from 2008 to May 2022, when we acquired Zynga, and Truecaller AB, a telephony company, from 2020 until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March 2024. Mr. Gordon was a special advisor to the board of directors of Amazon.com, Inc. until April 2023,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was previously a member of its board of directors from 2003 until January 2018. He was also a founding director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at ngmoco, LLC (acquired by DeNA Co. Ltd. in 2010) and Audible, Inc. (acquired by Amazon.com, Inc. in 2008).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was awarded the Academy of Interactive Arts &amp; Sciences’ Lifetime Achievement Award in 2011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held the game industry’s first ever endowed chair in game design at the University of Southern California School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 Cinematic Arts.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3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8" name="Image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7" w:name="i-98"/>
            <w:bookmarkEnd w:id="97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September 2019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10,727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ROLAND HERNANDEZ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the former President, Chief Executive Officer and Chairman of Telemundo Group, Inc., a television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 company, and through his experience on the Boards of Fox Corporation, MGM Resorts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International, Sony Corporation, Walmart Inc. and Vail Resorts, Inc., Mr. Hernandez offers significant experience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 international business and financial matters and a broad understanding of the retail and media sectors which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is particularly relevant to the Company. In addition, with his extensive experience on the boards of large public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corporations, Mr. Hernandez brings broad corporate governance expertise, along with significant knowledge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board operations, to our Board of Directors.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Hernandez is the Founding Principal and Chief Executive Officer of Hernandez Media Ventures, a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privately held company engaged in the acquisition and management of media assets.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 has served in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this capacity since January 2001. Before founding Hernandez Media Ventures, Mr. Hernandez served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Chairman of Telemundo Group, Inc., a Spanish-language television and entertainment company, from 1998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2000 and as President and Chief Executive Officer from 1995 to 2000. Mr. Hernandez received a BA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Harvard College and a JD from Harvard Law 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US Bancorp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Fox Corporation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Until April 2019, Mr. Hernandez served as the Chairman of the Board of Belmond, Ltd. Until December 2019,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Hernandez served as a member of the board of directors of Vail Resorts, Inc. Until May 2021, Mr. Hernandez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served as a member of the board of directors of MGM Resorts International. Mr. Hernandez serves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advisory board of Harvard Law School. He previously served on the board of directors of Sony Corporation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Walmart Inc.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46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9" name="Image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8" w:name="i-99"/>
            <w:bookmarkEnd w:id="98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21,868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J MOSES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provides insight based on vast media experience and leadership history, including his roles as CEO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UGO Networks, President of MTV Russia and President of BMG Interactive, and his deep understanding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interactive entertainment industry and its global opportunities.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Moses has spent the past 40 years collaborating with leading brands, companies, and figures across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sports, news, television, film, technology, gaming, and wagering.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After an eight-year tenure at ABC Sports,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moved into technology as President of BMG Games where he green-lit and developed the original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Grand Theft Auto. He then launched MTV Russia as its President, overseeing the first launch of a cable network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 Russia. Mr. Moses went on to co-found and lead UGO (Unified Gamers Online), managing its growth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eventual sale to Hearst Magazines. Currently, Mr. Moses advises numerous venture-backed tech and media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companies and develops scripted TV programs as President of OptIn Studios. Mr. Moses is a graduate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Princeton University and the Harvard Graduate School of Business Administration.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executive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was the founder, and from 1998 to 2007, the Chief Executive Officer, of UGO Networks, Inc., 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online publisher and affiliate network delivering information and entertainment to over 20 million gamers around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world. He managed the sale of the company to the Hearst Corporation in 2007. Mr. Moses previously served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the President of MTV Russia where he successfully oversaw the establishment of the Moscow-based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Network in 1998. Mr. Moses served as the President of BMG Interactive from 1993 to 1996, the former video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game and new technology divisions of BMG Entertainment, where he “green-lighted” a portfolio of 11 video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games including the original Grand Theft Auto. Mr. Moses has served as the Special Assistant to Roone Arledge,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President of ABC Sports and News; as an Executive Producer on Stolen Babies, a made for TV movie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ABC; and as Creator for New York News, a TV series for CBS.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3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0" name="Image1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9" w:name="i-100"/>
            <w:bookmarkEnd w:id="99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65,495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MICHAEL SHERESKY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 Sheresky’s entertainment experience as a talent agent is an important asset to the Board of Directors,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including his particularly keen insight into negotiations with, and the development and compensation of creative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talent and of management.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Sheresky is a partner at United Talent Agency, where he has served as a motion picture talent agent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since June 2009.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Sheresky is responsible for structuring projects and deals in the areas of motion picture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television development, production and distribution. Mr. Sheresky received a BA from Vassar College and 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MBA from Harvard Business 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professional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From 1992 through 1995, and then from 1997 through May 2009, Mr. Sheresky held a number of positions at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William Morris Agency, a talent agency, most recently Senior Vice President in its Motion Picture Department.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During that time, he represented authors, journalists, screenwriters, directors, producers and actors in the motion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picture and television businesses.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1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6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1" name="Image1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1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0" w:name="i-101"/>
            <w:bookmarkEnd w:id="100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12,237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ELLEN SIMINOFF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Siminoff was selected to serve on the Board of Directors due to her breadth of professional experiences in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emerging growth and technology companies, her backgrounds in marketing and advertising, her knowledge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consumer trends and expertise in corporate and business development, her governance experience as a director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of several public companies, and her success in a variety of industries.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Ms. Siminoff is a long-tenured media and technology executive and board member.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2007 to 2018,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she was President and CEO of Shmoop University, an educational publishing company which has built millions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of units of content.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Siminoff served as President and CEO of Efficient Frontier, a pioneer in the field of dynamic Search Engine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Marketing (SEM) management services (sold to Adobe). Prior to Efficient Frontier, Ms. Siminoff spent six years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as a founding executive at Yahoo!. During her tenure, she led Business Development (Vice President, Business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Development and Planning), Corporate Development (Senior Vice President, Corporate Development) and ran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the Small Business and Entertainment Business units. Ms. Siminoff received a BA from Princeton University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an MBA from Stanford University. Ms. Siminoff received a Master Liberal Arts Extension in Software Engineering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Harvard University Extension School in 2023.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Commerce.com,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Among other boards and advisory relationships, she currently serves on the board of Commerce.com, Inc.,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leading SAAS ecommerce platform, and the board of Verifone, a privately-held pre-eminent global payments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platform. Ms. Siminoff previously served as a member of the board of directors of Zynga Inc. from 2012 to May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2022, when we acquired Zynga. Until April 2022, Ms. Siminoff served on the board of Discovery Education,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global leader in standards-aligned digital curriculum resources and professional learning for K-12 classrooms,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she currently serves on the board of Follett, a privately-held leading provider of educational technology,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services, and print and digital content. She has served as a member of the Advisory Board of Stanford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University’s Graduate School of Business and served on the President’s Advisory Council of Princeton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University. Ms. Siminoff serves on the Board of Overseers at the Hoover Institution as of September 2022. Other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prior board experiences include SolarWinds, US Auto Parts Network, Journal Communications, and Mozilla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Corporation, the developers of Firefox browsers. In 2005 she was one of eight industry professionals named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Masters of Information” by Forbes magazine.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9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31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2" name="Image1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1" w:name="i-102"/>
            <w:bookmarkEnd w:id="101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2014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Audit 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32,122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SUSAN TOLSON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FC0B9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FC0B9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Tolson brings to the Board of Directors significant experience in entertainment and financial/investment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matters from her previous positions, together with her existing current service as a director of both for profit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nonprofit organizations.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Ms. Tolson is a financial executive with more than 20 years of experience in the financial services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industry. Ms. Tolson worked at Capital Research and Management Company and Capital Research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Company,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subsidiaries of The Capital Group Companies, Inc., from 1990 to 2010. She served in various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capacities, including Senior Vice President and Portfolio Manager. Before joining Capital Research, Ms. Tolson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was an Investment Officer at Aetna Investment Management Company, making private investments in media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and entertainment companies. Ms. Tolson received a BA from Smith College and an MBA from Harvard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Business 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OUTFRONT Media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Ms. Tolson was a member of the board and audit committee of Worldline E-Payments Services until June 2023;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 member of the board and audit committee of Groupe Lagardère until July 2021; a member of the board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audit committee of the American Cinematheque until May 2018; a trustee and member of the business affairs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 of The American University of Paris until 2014; and a member of the board and audit committee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American Media until 2014.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0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3" name="Image1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1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2" w:name="i-103"/>
            <w:bookmarkEnd w:id="102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2018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92,347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PAUL VIERA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Viera brings to the Board of Directors proven leadership skills, vast business experience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financial acumen.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Viera is the Founder and Chief Executive Officer of Earnest Partners, a global investment firm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responsible for overseeing over $20 billion for municipalities, states, corporations, endowments, and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universities.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founding Earnest Partners in 1998, Mr. Viera was a Vice President at Bankers Trust in both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New York and London and later joined Invesco, where he became a global partner and senior member of its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investment team. Mr. Viera received a BA from the University of Michigan and an MBA from Harvard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Business 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Viera serves as a Trustee of the Woodruff Arts Center in Atlanta, Georgia and as a member of its investment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committee. He is also a member of the boards of directors of CBH Electronic Research Ltd., the board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directors of DeepCare, the Board of Dean’s Advisors for Harvard Business School, the Council on Foreign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Relations, the Carter Center Board of Councilors, the National Center for Human &amp; Civil Rights, and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 of Michigan School of Information External Advisory Board.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5"/>
        <w:gridCol w:w="109"/>
        <w:gridCol w:w="8431"/>
      </w:tblGrid>
      <w:tr>
        <w:trPr/>
        <w:tc>
          <w:tcPr>
            <w:tcW w:w="1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4" name="Image1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3" w:name="i-104"/>
            <w:bookmarkEnd w:id="103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CHAIRMAN AND CEO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Executive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1,382,568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STRAUSS ZELNICK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. Zelnick provides the Company’s Board of Directors with valuable insight in organization and management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obtained from his experiences, including acting as Executive Chairman and CEO of the Company.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Mr. Zelnick has been Chairman of the Company since March 2007, Executive Chairman of the Board of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Directors since February 2008 and Chief Executive Officer of the Company since January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2011.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Zelnick also is founder of and a partner in ZMC, a leading media focused private equity firm.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Zelnick serves as Executive Chairman of the Board of Directors and Chief Executive Officer of the Company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pursuant to the terms of the Management Agreement between the Company and ZMC. See “Certain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Relationships and Related Transactions—Management Agreement.” Mr. Zelnick received a BA from Wesleyan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University, a JD from Harvard Law School and an MBA from Harvard Business School.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Starwood Property Trust, Inc.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executive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Zelnick served as Executive Chairman of Direct Holdings Worldwide, Inc., the parent company of Time Life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Lillian Vernon, until the company was sold to Reader’s Digest on March 2, 2007. Prior to forming ZMC,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Zelnick was President and Chief Executive Officer of BMG Entertainment, a $4.7 billion music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 company with more than 200 record labels and operations in 54 countries. Mr. Zelnick’s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appointment as President and Chief Executive Officer of BMG Entertainment followed his tenure as President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Chief Executive Officer of BMG’s North American business unit from 1994 through 1998. Before joining BMG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Entertainment, Mr. Zelnick was President and Chief Executive Officer of Crystal Dynamics, a leading producer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distributor of interactive game software. Prior to that, he spent four years as President and Chief Operating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Officer of 20th Century Fox, where he managed all aspects of its worldwide motion picture and distribution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business. Previously, he spent three years at Vestron Inc. as a senior executive, and rose to become President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Chief Operating Officer. Mr. Zelnick also served as Vice President, International Television Sales,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Columbia Pictures.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Zelnick serves as a member of the board of directors of the Entertainment Software Association, for which 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served as Chairman from July 2014 to July 2017, and currently serves as Chairman since December 2025.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September 2018 to December 2019, Mr. Zelnick served on the board of ViacomCBS Inc. (formerly known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CBS Corporation), a public company, and as a member of its compensation committee and nominating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governance committee. He also served as the non-executive interim chairman of the CBS board from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2018 until December 2019. Mr. Zelnick is also an associate member of the National Academy of Recording Arts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Sciences and served on the board of directors of the Recording Industry Association of America and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Motion Picture Association of America.</w:t>
            </w:r>
          </w:p>
        </w:tc>
      </w:tr>
      <w:tr>
        <w:trPr/>
        <w:tc>
          <w:tcPr>
            <w:tcW w:w="16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COMPOSITION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Composition</w:t>
      </w:r>
      <w:bookmarkStart w:id="104" w:name="idb11bb8dd112498a8e054cc0d432b4cb_596"/>
      <w:bookmarkEnd w:id="104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director nominee for our Board of Directors is highly qualified and brings a variety of skills and experiences to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boardroom. These skills are relevant to our business and enable the Board of Directors to provide strong oversight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effectively oversee management’s execution of strategy.</w:t>
      </w:r>
    </w:p>
    <w:tbl>
      <w:tblPr>
        <w:tblW w:w="85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109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47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Skill/Experience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2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5" name="Image1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1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5" w:name="i-105"/>
            <w:bookmarkEnd w:id="105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6" name="Image1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6" w:name="i-106"/>
            <w:bookmarkEnd w:id="106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7" name="Image1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1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7" w:name="i-107"/>
            <w:bookmarkEnd w:id="107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8" name="Image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8" w:name="i-108"/>
            <w:bookmarkEnd w:id="108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9" name="Image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9" w:name="i-109"/>
            <w:bookmarkEnd w:id="109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0" name="Image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0" w:name="i-110"/>
            <w:bookmarkEnd w:id="110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1" name="Image1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Image1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1" w:name="i-111"/>
            <w:bookmarkEnd w:id="111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2" name="Image1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2" w:name="i-112"/>
            <w:bookmarkEnd w:id="112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3" name="Image1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1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3" w:name="i-113"/>
            <w:bookmarkEnd w:id="113"/>
          </w:p>
        </w:tc>
        <w:tc>
          <w:tcPr>
            <w:tcW w:w="347" w:type="dxa"/>
            <w:tcBorders>
              <w:left w:val="single" w:sz="2" w:space="0" w:color="8C8D8F"/>
              <w:bottom w:val="single" w:sz="4" w:space="0" w:color="18333C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4" name="Image1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4" w:name="i-114"/>
            <w:bookmarkEnd w:id="114"/>
          </w:p>
        </w:tc>
      </w:tr>
      <w:tr>
        <w:trPr/>
        <w:tc>
          <w:tcPr>
            <w:tcW w:w="5401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4" w:space="0" w:color="18333C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Consumer &amp; Marketing Insight: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Positions the Company for successful title releases and consumer retention.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5" name="Image1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1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5" w:name="i-115"/>
            <w:bookmarkEnd w:id="11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6" name="Image1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6" w:name="i-116"/>
            <w:bookmarkEnd w:id="11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7" name="Image1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1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7" w:name="i-117"/>
            <w:bookmarkEnd w:id="11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8" name="Image1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8" w:name="i-118"/>
            <w:bookmarkEnd w:id="11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9" name="Image1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1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9" w:name="i-119"/>
            <w:bookmarkEnd w:id="11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0" name="Image1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0" w:name="i-120"/>
            <w:bookmarkEnd w:id="12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1" name="Image1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1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1" w:name="i-121"/>
            <w:bookmarkEnd w:id="12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2" name="Image1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2" w:name="i-122"/>
            <w:bookmarkEnd w:id="12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3" name="Image1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1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3" w:name="i-123"/>
            <w:bookmarkEnd w:id="12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Corporate Governance &amp; Sustainability: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Ensures that the Company operates in a responsible manner as it relates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to corporate governance, environmental and community impact,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executive compensation.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4" name="Image1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4" w:name="i-124"/>
            <w:bookmarkEnd w:id="12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5" name="Image1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1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5" w:name="i-125"/>
            <w:bookmarkEnd w:id="12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6" name="Image1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6" w:name="i-126"/>
            <w:bookmarkEnd w:id="12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7" name="Image1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Image1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7" w:name="i-127"/>
            <w:bookmarkEnd w:id="12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8" name="Image1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8" w:name="i-128"/>
            <w:bookmarkEnd w:id="12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9" name="Image1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1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9" w:name="i-129"/>
            <w:bookmarkEnd w:id="12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0" name="Image1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0" w:name="i-130"/>
            <w:bookmarkEnd w:id="13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1" name="Image1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1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1" w:name="i-131"/>
            <w:bookmarkEnd w:id="13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2" name="Image1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2" w:name="i-132"/>
            <w:bookmarkEnd w:id="132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3" name="Image1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1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3" w:name="i-133"/>
            <w:bookmarkEnd w:id="13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Education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Strengthens oversight of the Company’s employee development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training programs and policies.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4" name="Image1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4" w:name="i-134"/>
            <w:bookmarkEnd w:id="13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5" name="Image1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1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5" w:name="i-135"/>
            <w:bookmarkEnd w:id="13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6" name="Image1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6" w:name="i-136"/>
            <w:bookmarkEnd w:id="13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Entertainment &amp; Media Expertise: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Ensures that the Board of Directors can effectively oversee strategic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decisions in our industry.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7" name="Image1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1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7" w:name="i-137"/>
            <w:bookmarkEnd w:id="13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8" name="Image1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8" w:name="i-138"/>
            <w:bookmarkEnd w:id="13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9" name="Image1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1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9" w:name="i-139"/>
            <w:bookmarkEnd w:id="13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0" name="Image1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0" w:name="i-140"/>
            <w:bookmarkEnd w:id="14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1" name="Image1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1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1" w:name="i-141"/>
            <w:bookmarkEnd w:id="14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2" name="Image1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2" w:name="i-142"/>
            <w:bookmarkEnd w:id="14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3" name="Image1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1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3" w:name="i-143"/>
            <w:bookmarkEnd w:id="14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4" name="Image1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4" w:name="i-144"/>
            <w:bookmarkEnd w:id="14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5" name="Image1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1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5" w:name="i-145"/>
            <w:bookmarkEnd w:id="14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Financials &amp; Investment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the Company’s financial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performance and associated reporting, balance sheet strategy,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competitive positioning.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6" name="Image1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6" w:name="i-146"/>
            <w:bookmarkEnd w:id="14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7" name="Image1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1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7" w:name="i-147"/>
            <w:bookmarkEnd w:id="14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8" name="Image1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8" w:name="i-148"/>
            <w:bookmarkEnd w:id="14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9" name="Image1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1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9" w:name="i-149"/>
            <w:bookmarkEnd w:id="14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0" name="Image1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0" w:name="i-150"/>
            <w:bookmarkEnd w:id="15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1" name="Image1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1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1" w:name="i-151"/>
            <w:bookmarkEnd w:id="151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2" name="Image1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2" w:name="i-152"/>
            <w:bookmarkEnd w:id="152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Global Business Operations &amp; International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These skills are crucial given our significant international consumer base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and employee presence.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3" name="Image1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1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3" w:name="i-153"/>
            <w:bookmarkEnd w:id="15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4" name="Image1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4" w:name="i-154"/>
            <w:bookmarkEnd w:id="15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5" name="Image1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1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5" w:name="i-155"/>
            <w:bookmarkEnd w:id="15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6" name="Image1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6" w:name="i-156"/>
            <w:bookmarkEnd w:id="15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7" name="Image1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1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7" w:name="i-157"/>
            <w:bookmarkEnd w:id="157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8" name="Image1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8" w:name="i-158"/>
            <w:bookmarkEnd w:id="158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Human Capital Management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Enables the Board of Directors to oversee our efforts to manage complex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teams, build an engaging workplace, and recruit and incentivize top talent.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9" name="Image1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1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9" w:name="i-159"/>
            <w:bookmarkEnd w:id="15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0" name="Image1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0" w:name="i-160"/>
            <w:bookmarkEnd w:id="16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1" name="Image1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1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1" w:name="i-161"/>
            <w:bookmarkEnd w:id="16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2" name="Image1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2" w:name="i-162"/>
            <w:bookmarkEnd w:id="16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3" name="Image1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1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3" w:name="i-163"/>
            <w:bookmarkEnd w:id="16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4" name="Image1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4" w:name="i-164"/>
            <w:bookmarkEnd w:id="164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5" name="Image1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Image1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5" w:name="i-165"/>
            <w:bookmarkEnd w:id="16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Executive Leadership: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Provides valuable insight into the complexities that come with leading large,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sophisticated organizations and teams.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6" name="Image1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6" w:name="i-166"/>
            <w:bookmarkEnd w:id="16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7" name="Image1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1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7" w:name="i-167"/>
            <w:bookmarkEnd w:id="16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8" name="Image1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8" w:name="i-168"/>
            <w:bookmarkEnd w:id="16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9" name="Image1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Image1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9" w:name="i-169"/>
            <w:bookmarkEnd w:id="16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0" name="Image1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0" w:name="i-170"/>
            <w:bookmarkEnd w:id="17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1" name="Image1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Image1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1" w:name="i-171"/>
            <w:bookmarkEnd w:id="17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2" name="Image1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2" w:name="i-172"/>
            <w:bookmarkEnd w:id="17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3" name="Image1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Image1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3" w:name="i-173"/>
            <w:bookmarkEnd w:id="17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4" name="Image1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4" w:name="i-174"/>
            <w:bookmarkEnd w:id="174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5" name="Image1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1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5" w:name="i-175"/>
            <w:bookmarkEnd w:id="17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Regulatory &amp; Governmental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Provides necessary insight into an increasingly complex global regulatory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landscape that impacts our content and distribution.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6" name="Image1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6" w:name="i-176"/>
            <w:bookmarkEnd w:id="17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7" name="Image1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1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7" w:name="i-177"/>
            <w:bookmarkEnd w:id="177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Risk Management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strategic risks to the Company,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including business continuity planning, cyber, digital and physical security.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8" name="Image1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8" w:name="i-178"/>
            <w:bookmarkEnd w:id="17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9" name="Image1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Image1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9" w:name="i-179"/>
            <w:bookmarkEnd w:id="17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0" name="Image1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0" w:name="i-180"/>
            <w:bookmarkEnd w:id="18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1" name="Image1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1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1" w:name="i-181"/>
            <w:bookmarkEnd w:id="18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2" name="Image1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2" w:name="i-182"/>
            <w:bookmarkEnd w:id="18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3" name="Image1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1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3" w:name="i-183"/>
            <w:bookmarkEnd w:id="183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4" name="Image1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4" w:name="i-184"/>
            <w:bookmarkEnd w:id="184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Strategy and Growth: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strategic decisions underpinning the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Company’s long-term success, including evaluating and executing 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growth opportunities and business development through acquisitions,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partnerships, and organic initiatives.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5" name="Image1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1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5" w:name="i-185"/>
            <w:bookmarkEnd w:id="18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6" name="Image1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1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6" w:name="i-186"/>
            <w:bookmarkEnd w:id="18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7" name="Image1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1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7" w:name="i-187"/>
            <w:bookmarkEnd w:id="18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8" name="Image1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8" w:name="i-188"/>
            <w:bookmarkEnd w:id="18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9" name="Image1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1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9" w:name="i-189"/>
            <w:bookmarkEnd w:id="18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0" name="Image1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0" w:name="i-190"/>
            <w:bookmarkEnd w:id="19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1" name="Image1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Image1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1" w:name="i-191"/>
            <w:bookmarkEnd w:id="19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2" name="Image1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2" w:name="i-192"/>
            <w:bookmarkEnd w:id="192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3" name="Image1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1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3" w:name="i-193"/>
            <w:bookmarkEnd w:id="19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Technology: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Staying apprised of relevant technological advancements applicable to our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business, including with respect to Artificial Intelligence, allows the Board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Directors to effectively oversee core elements of our daily operations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competitive activities.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4" name="Image1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4" w:name="i-194"/>
            <w:bookmarkEnd w:id="19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5" name="Image1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1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5" w:name="i-195"/>
            <w:bookmarkEnd w:id="19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6" name="Image1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6" w:name="i-196"/>
            <w:bookmarkEnd w:id="19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7" name="Image1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1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7" w:name="i-197"/>
            <w:bookmarkEnd w:id="19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8" name="Image1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8" w:name="i-198"/>
            <w:bookmarkEnd w:id="19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9" name="Image1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Image1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9" w:name="i-199"/>
            <w:bookmarkEnd w:id="199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200" name="Image2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0" w:name="i-200"/>
            <w:bookmarkEnd w:id="200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(1)Information as of July __, 2026. A “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 the chart indicates a specific area of focus or expertise that is particularly relevant to a director’s service on our Board.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91440" cy="91440"/>
            <wp:effectExtent l="0" t="0" r="0" b="0"/>
            <wp:docPr id="201" name="Image2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201" descr="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1" w:name="i-201"/>
      <w:bookmarkEnd w:id="201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absence of a “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does not mean that a director does not also possess meaningful experience or skill in that area.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91440" cy="91440"/>
            <wp:effectExtent l="0" t="0" r="0" b="0"/>
            <wp:docPr id="202" name="Image2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202" descr="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2" w:name="i-202"/>
      <w:bookmarkEnd w:id="202"/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CORPORATE GOVERNANCE AND BOARD PRACTICES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Company’s governance framework provides the Board of Directors with the flexibility to select the appropriate leadership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structure for the Company. This determination is conducted at least annually and is based on a multitude of factors,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current and future strategic and governance needs of the business.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fiscal 2026, the Board of Directors decided to continue with a leadership structure comprised of a combined Chairman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and CEO, a Lead Independent Director, and Board committees led by independent directors. The Board of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believes that in light of the Company’s clear strategy and the strength of its overall governance practices, at this time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combined Chairman/CEO role more effectively unifies the Board of Directors and management around the specific initiatives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necessary to support the Company’s strategy.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Zelnick currently serves as both the Chief Executive Officer and Executive Chairman of the Company. The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of the Board of Directors have elected Ms. Srinivasan to serve as our Lead Independent Director (as described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below), a role that complements the Executive Chairman’s role and serves as the principal liaison between the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and the Executive Chairman and Company management. Ms. Srinivasan has held this position since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 2023.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Lead Independent Director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Lead Independent Director serves as the principal liaison between the independent directors and the Executive Chairman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is responsible for: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98920" cy="2251710"/>
            <wp:effectExtent l="0" t="0" r="0" b="0"/>
            <wp:docPr id="203" name="Image2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203" descr="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3" w:name="i-203"/>
      <w:bookmarkEnd w:id="203"/>
    </w:p>
    <w:tbl>
      <w:tblPr>
        <w:tblW w:w="49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7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4" name="Image2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2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4" w:name="i-204"/>
            <w:bookmarkEnd w:id="204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Presiding at all Board of Directors meetings at which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Chairman of the Board is not present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5" name="Image2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Image2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5" w:name="i-205"/>
            <w:bookmarkEnd w:id="205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Convening regular and special meetings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independent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6" name="Image2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6" w:name="i-206"/>
            <w:bookmarkEnd w:id="206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Developing the agenda for executive sessions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independent directors and working with the Chairman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develop and approve the agenda for meetings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full Board of Directors, including scheduling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ensure there is sufficient time for discussion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7" name="Image2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Image2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7" w:name="i-207"/>
            <w:bookmarkEnd w:id="207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Coordinating feedback to the Chairman on behalf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independent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1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8" name="Image2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8" w:name="i-208"/>
            <w:bookmarkEnd w:id="208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Coordinating with the Company’s Chief Legal Officer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respond to shareholders who have addressed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communication to the independent directors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9" name="Image2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2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9" w:name="i-209"/>
            <w:bookmarkEnd w:id="209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Making herself available for shareholder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communication, as appropriate (other independent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directors may also participate in such communication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at times)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10" name="Image2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0" w:name="i-210"/>
            <w:bookmarkEnd w:id="210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Handling any matters concerning an actual 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potential conflict of interest involving any other 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Lead Independent Director spends significant time engaging separately with one or more of the Chief Executive Officer,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President, the Chief Financial Officer and the Chief Legal Officer to discuss the Company’s business strategy in greater detail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provide additional guidance to management. These meetings enable the Lead Independent Director to gain a deeper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understanding of any matters being handled by management which should be brought to the attention of the entire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or a committee thereof, as well as an opportunity to obtain additional information on any matters which the Lead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Independent Director believes may otherwise be of interest to the other directors and to provide advice to the other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regarding such matters. The Lead Independent Director is also invited to all meetings of the committees of the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and attended all such meetings in fiscal 2026.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COMMITTEES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Committees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has four standing committees entirely comprised of independent directors: a Compensation Committee,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Corporate Governance Committee, an Audit Committee, and a Technology Risk Committee, which is a new committee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formed in October 2025 to enable effective oversight of emerging opportunities and risks related to technology.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of Directors also has a standing Executive Committee, currently comprised of Lead Independent Director Ms. Srinivasan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(Chair), and Messrs. Dornemann and Zelnick. These five committees are governed by written charters which are posted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Corporate Governance tab on the Company’s website at www.take2games.com. The Company’s Code of Business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Conduct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Ethics is also posted on the Company’s website at www.take2games.com under the “Policies &amp; Conduct” tab.</w:t>
      </w:r>
    </w:p>
    <w:tbl>
      <w:tblPr>
        <w:tblW w:w="7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1"/>
        <w:gridCol w:w="1276"/>
        <w:gridCol w:w="109"/>
        <w:gridCol w:w="1066"/>
        <w:gridCol w:w="109"/>
        <w:gridCol w:w="976"/>
        <w:gridCol w:w="109"/>
        <w:gridCol w:w="1096"/>
        <w:gridCol w:w="109"/>
        <w:gridCol w:w="1021"/>
      </w:tblGrid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Governance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Audit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Technology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Risk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Executive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</w:tr>
      <w:tr>
        <w:trPr/>
        <w:tc>
          <w:tcPr>
            <w:tcW w:w="19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635"/>
                  <wp:effectExtent l="0" t="0" r="0" b="0"/>
                  <wp:docPr id="211" name="Image2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2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1" w:name="i-211"/>
            <w:bookmarkEnd w:id="211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2" name="Image2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2" w:name="i-212"/>
            <w:bookmarkEnd w:id="212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3" name="Image2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Image2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3" w:name="i-213"/>
            <w:bookmarkEnd w:id="213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William “Bing” Gordon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4" name="Image2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4" w:name="i-214"/>
            <w:bookmarkEnd w:id="214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5" name="Image2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Image2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5" w:name="i-215"/>
            <w:bookmarkEnd w:id="215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6" name="Image2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2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6" w:name="i-216"/>
            <w:bookmarkEnd w:id="216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7" name="Image2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2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7" w:name="i-217"/>
            <w:bookmarkEnd w:id="217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8" name="Image2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8" w:name="i-218"/>
            <w:bookmarkEnd w:id="218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9" name="Image2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2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9" w:name="i-219"/>
            <w:bookmarkEnd w:id="219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Ellen Siminoff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0" name="Image2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2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0" w:name="i-220"/>
            <w:bookmarkEnd w:id="220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1" name="Image2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2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1" w:name="i-221"/>
            <w:bookmarkEnd w:id="221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22" name="Image2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2" w:name="i-222"/>
            <w:bookmarkEnd w:id="222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3" name="Image2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2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3" w:name="i-223"/>
            <w:bookmarkEnd w:id="223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Paul Viera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4" name="Image2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2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4" w:name="i-224"/>
            <w:bookmarkEnd w:id="224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Strauss Zelnick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5" name="Image2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Image2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5" w:name="i-225"/>
            <w:bookmarkEnd w:id="225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Meetings in Fiscal 2026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Member  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Chair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91440" cy="91440"/>
            <wp:effectExtent l="0" t="0" r="0" b="0"/>
            <wp:docPr id="226" name="Image2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226" descr="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6" w:name="i-226"/>
      <w:bookmarkEnd w:id="226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" cy="127000"/>
            <wp:effectExtent l="0" t="0" r="0" b="0"/>
            <wp:docPr id="227" name="Image2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227" descr="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7" w:name="i-227"/>
      <w:bookmarkEnd w:id="227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Compensation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Sheresky (Chair), Dornemann and Hernandez, each of whom is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director under Nasdaq’s Rule 5605, and a “non-employee director” as defined under the SEC rules.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Compensation Committee, among other roles, reviews the compensation policies and procedures of the Company,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evaluates and approves executive officer compensation, and makes recommendations to the Board of Directors regarding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 compensation.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Corporate Governance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Hernandez (Chair) and Moses and Ms. Siminoff. The Corporate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 Committee is responsible, among other things, for creating and maintaining overall corporate governance policies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Company, identifying, screening and recruiting director candidates for the Board of Directors and overseeing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environmental, social and governance initiatives.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Audit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Mses. Tolson (Chair) and Siminoff and Mr. Viera. The Audit Committee oversees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and financial reporting processes of the Company and audits of the financial statements of the Company.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addition, the Audit Committee assists the Board of Directors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its review and oversight of the Company’s key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objectives, strategies and policies. The Board of Directors has determined that Ms. Tolson and Mr. Viera each qualify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 financial expert” under federal securities laws.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Technology Risk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Moses (Chair) and Gordon and Ms. Tolson. The Technology Risk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is a new committee that was formed in October 2025, given the importance of technology to our business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 entertainment company. The Committee assists the Board of Directors in its review and oversight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technology specific risk management, including risks related to cybersecurity, artificial intelligence, data security, disaster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recovery, game and publishing technology, and other emerging technology risks. Our Audit Committee Chair was strategically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appointed to the Technology Risk Committee to ensure effective communication between committees and a thoughtful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oversight transition process.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ATTENDANCE AT SHAREHOLDER MEETINGS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Director Selection and Refreshment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Corporate Governance Committee will consider nominees recommended by shareholders, provided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recommendation contains sufficient information for the committee to assess the suitability of the candidate and such nomination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complies with the Company’s bylaws. Candidates recommended by shareholders that comply with these procedures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 the same consideration that candidates recommended by the committee receive.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When selecting directors, the Board of Directors reviews and considers many factors, including experience, business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understanding, achievement, available time, skills and independence. It also will consider ethical standards, integrity and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conflict of interest. It considers recommendations primarily from shareholders of the Company and from members of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 and management. The Corporate Governance Committee conducts interviews with candidates who meet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criteria of the Board of Directors and has full discretion in considering its nominations to the Board of Directors.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adopted Corporate Governance Guidelines, which include criteria to assess the suitability of candidates for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Directors. These Corporate Governance Guidelines are posted under the “Conduct” tab on the Company’s website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www.take2games.com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Independent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determined that Messrs. Dornemann, Gordon, Hernandez, Moses, Sheresky and Viera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Mses. Siminoff, Srinivasan and Tolson are “independent” directors, and that Mr. Zelnick is not an “independent” director, in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case as defined under the rules of The Nasdaq Stock Market. With respect to Mr. Gordon, at the time he joined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in May of 2022, the Board of Directors determined he was not an “independent” director under the rules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Nasdaq Stock Market as a result of a pre-existing consulting services agreement between Zynga Inc. and Mr. Gordon. Because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consulting services agreement was terminated effective as of June 15, 2022, which is more than three years ago,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has now determined that Mr. Gordon currently qualifies as an “independent” director under the rules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Nasdaq Stock Market effective as of June 15, 2025. During fiscal 2026, the independent directors met in executive session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(outside the presence of management) on eleven occasions.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 Composition and Refreshment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routinely reviews the composition of the Board and believes that it benefits from having a group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with a wide range of viewpoints, including based on experience, backgrounds and other factors. The Board has taken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deliberate approach to refreshment, with new directors joining in four of the prior nine years and five of our 10 director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nominees having served for nine years or less. The Board values maintaining directors with a range of tenures to balance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perspectives with the benefit of directors who have served through the evolution of the interactive entertainment industry.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an annual basis, the Corporate Governance Committee conducts a succession planning and refreshment review that covers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Directors, the Company’s executive officers and, in conjunction with the Company’s Chief Human Resources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Officer, a review of succession planning throughout the organization. Further information relating to our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planning process is set forth below under “Management Development and Succession Planning.” As a result of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regular succession planning and refreshment reviews, the Board of Directors has made the following changes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composition of the committees of the Board of Directors since the fiscal year ended March 31, 2024 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2024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DIRECTOR SELECTION AND REFRESHMENT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83680" cy="4077335"/>
            <wp:effectExtent l="0" t="0" r="0" b="0"/>
            <wp:docPr id="228" name="Image2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228" descr="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8" w:name="i-228"/>
      <w:bookmarkEnd w:id="228"/>
    </w:p>
    <w:tbl>
      <w:tblPr>
        <w:tblW w:w="88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611"/>
        <w:gridCol w:w="109"/>
        <w:gridCol w:w="302"/>
        <w:gridCol w:w="109"/>
        <w:gridCol w:w="2371"/>
        <w:gridCol w:w="109"/>
        <w:gridCol w:w="302"/>
        <w:gridCol w:w="109"/>
        <w:gridCol w:w="25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2026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September 2023,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Ms. Srinivasan succeeded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Dornemann as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Lead Independent Director,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was appointed to serve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 the Chair of the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Committee, and rotated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off 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 Committee.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Ms. Siminoff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joined 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 Committee.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59385"/>
                  <wp:effectExtent l="0" t="0" r="0" b="0"/>
                  <wp:docPr id="229" name="Image2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2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9" w:name="i-229"/>
            <w:bookmarkEnd w:id="229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Effective October 1, 2024,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Dornemann rotated 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Audit Committees.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Sheresky rotated off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Executive Committee.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59385"/>
                  <wp:effectExtent l="0" t="0" r="0" b="0"/>
                  <wp:docPr id="230" name="Image2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0" w:name="i-230"/>
            <w:bookmarkEnd w:id="23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Effective September 18,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2025, Mr. Moses rotated 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Compensation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stepped down as Chair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 the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Committee, while continuing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serve as a member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that 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Hernandez joined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and succeeded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 Moses as Chair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and Mr. Sheresky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rotated off 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Governance 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October 2025,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 formed the Technology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Risk Committee, which 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comprised of Mr. Moses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 Chair, Ms. Tolson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Mr. Gordon.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 Assessment Process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and its committees conduct annual self-evaluations that include both the completion of a questionnaire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biennial individual interviews of each director by an outside third party. These evaluations are utilized by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each committee to improve communication, strategy, and effectiveness, and to identify possible improvements that can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made to the performance and composition of the Board and each of its committees. The Corporate Governance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assists the Board of Directors in its review and reports to the full Board regarding its findings and recommendations, which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considered and implemented as appropriate. Furthermore, the Compensation Committee performs an annual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 of the Chairman/CEO and other named executive officers and reports its findings to the full Board of 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Attendance at Shareholder Meetings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adopted a policy whereby director nominees are encouraged to attend the Company’s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 of shareholders. All of our then incumbent director nominees attended the last annual meeting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in September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Meetings of Directors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held eleven meetings during fiscal 2026. Each of the incumbent directors attended at least 75%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aggregate of all meetings of the Board of Directors and committees on which the individual served for the period of his or 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 in the fiscal year. Periodically, the Board of Directors convenes at an off-site strategic planning session, which includes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presentations and discussions with senior management, to review the Company’s strategic, competitive and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goals as well as to discuss the Company’s long-term strategic plan. The most recent off-site strategic planning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session took place in October 2025.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SUSTAINABILITY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Oversight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Board’s Role in Oversight of Strategy and Risk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exercises direct oversight of strategic risks to the Company. The Audit Committee reviews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policies for risk assessment and risk management, including overseeing risks specifically relating to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reporting and internal controls. The Technology Risk Committee reviews and oversees the Company’s technology specific risk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including risks related to cybersecurity, artificial intelligence, data security, disaster recovery, game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publishing technology, and other emerging technology risks.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oversees risks relating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programs and policies. See “Risk Assessment of Overall Compensation Program.” The Corporate Governance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oversees sustainability matters and operational risk relating to insurance. In each case, management periodically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reports to our Board of Directors or to the relevant committee, which provides guidance on risk appetite, assessment,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mitigation. Each committee charged with risk oversight reports to our Board of Directors on those matters.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035040" cy="2423160"/>
            <wp:effectExtent l="0" t="0" r="0" b="0"/>
            <wp:docPr id="231" name="Image2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231" descr="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1" w:name="i-231"/>
      <w:bookmarkEnd w:id="231"/>
    </w:p>
    <w:tbl>
      <w:tblPr>
        <w:tblW w:w="84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1"/>
        <w:gridCol w:w="109"/>
        <w:gridCol w:w="2116"/>
        <w:gridCol w:w="109"/>
        <w:gridCol w:w="1876"/>
        <w:gridCol w:w="109"/>
        <w:gridCol w:w="1921"/>
      </w:tblGrid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COMMITTEE RISK OVERSIGHT</w:t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80808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808080"/>
                <w:sz w:val="16"/>
                <w:u w:val="none"/>
                <w:effect w:val="none"/>
              </w:rPr>
              <w:t>TECHNOLOGY</w:t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Reviews the Company’s policies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for risk assessment and risk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management relating to financial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reporting and internal controls,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and assesses steps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management has taken to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control such risks and exposures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risks relating to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compensation programs and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policies. See “Risk Assessment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of Overall 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Program”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sustainability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matters and operational risk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relating to insurance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technology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specific risk, including risks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related to cybersecurity,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artificial intelligence, data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security, disaster recovery,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game and publishing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technology, and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emerging technology risks 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Management Development and Succession Planning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recognizes the importance of retaining and developing highly qualified leadership talent. To gain insight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into our pool of talent and what attracts, motivates, and retains key employees, the Board of Directors engages with members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our management team and high-potential individuals across the business during annual 360-degree interviews,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presentations, off-site strategic planning sessions, and periodic informal meetings and communications. By regularly interacting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our current and future leaders, the Board of Directors facilitates a deeper understanding of our Company’s culture and best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positions itself to oversee and help maintain a long-term program for the effective development and succession planning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senior management team.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oversee and continue to develop this long-term practice, the Board of Directors discusses management succession planning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least once a year, and the Corporate Governance Committee works with management to maintain a succession plan for key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of the team. Additionally, the Corporate Governance Committee monitors and reports to the Board of Directors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related issues, including preparedness for an emergency situation affecting senior management, as well as the long-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 growth and development of the senior management team.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AND GOVERNANCE POLICES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Sustainability Matters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believes that focusing on corporate governance and corporate responsibility creates value for the Company,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employees, our shareholders, our consumers and other stakeholders while also helping mitigate risks, reduce costs, protect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brand value, and identify market opportunities. The Board of Directors provides oversight for this area through the Corporate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Governance Committee, which oversees and reviews our sustainability strategy and guides long-term climate strategy.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oversees Sustainability matters using the following structure:</w:t>
      </w:r>
    </w:p>
    <w:tbl>
      <w:tblPr>
        <w:tblW w:w="50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036"/>
        <w:gridCol w:w="817"/>
        <w:gridCol w:w="818"/>
        <w:gridCol w:w="1130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gridSpan w:val="4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CORPORATE GOVERNANCE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right w:val="dashed" w:sz="8" w:space="0" w:color="081C31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dashed" w:sz="8" w:space="0" w:color="081C31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gridSpan w:val="4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MANAGEMENT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Human Resources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Legal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Cybersecurity</w:t>
            </w:r>
          </w:p>
        </w:tc>
        <w:tc>
          <w:tcPr>
            <w:tcW w:w="16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Investor Relations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Workplace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Financial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Creative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seeks to ensure that corporate responsibility and sustainability considerations are incorporated into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strategy, disclosure, and long-term goals to maintain and advance sustainable shareholder value. We intend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publish our fifth Impact Report incorporating the Sustainability Accounting Standards Board standards in September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 will highlight the Company’s efforts across key environmental, social, and governance topics and will be available on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website. We also publish a standalone report on the Task Force on Climate-Related Financial Disclosure recommendations,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is also posted on the Company’s website. These reports and our website are not incorporated herein by reference. Areas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which this committee continues to focus include board composition and refreshment, cybersecurity, human capital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sustainability and community engagement.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Cybersecurity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continue to invest financial and operational resources to implement certain systems, processes and technologies to guard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against cyber risks and to help protect our data and systems. Our Technology Risk Committee receives reports on at least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quarterly basis regarding key cybersecurity risks and related matters, including secure processing, storage, and transmission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personal and confidential information, such as the personally identifiable information of our users. For additional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the Company's cybersecurity risk management, strategy and governance, see Item 1C under the heading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Cybersecurity” of Part I of the Company's Annual Report on Form 10-K for fiscal 2026.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Human Capital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One of Take-Two’s most important assets is our people. We are constantly focused on our teams – their success, their structure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how best to support them given their particular needs and projects.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 Statistics*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730" cy="1021715"/>
            <wp:effectExtent l="0" t="0" r="0" b="0"/>
            <wp:docPr id="232" name="Image2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232" descr="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2" w:name="i-232"/>
      <w:bookmarkEnd w:id="232"/>
    </w:p>
    <w:tbl>
      <w:tblPr>
        <w:tblW w:w="66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01"/>
        <w:gridCol w:w="2844"/>
        <w:gridCol w:w="199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751330" cy="585470"/>
                  <wp:effectExtent l="0" t="0" r="0" b="0"/>
                  <wp:docPr id="233" name="Image2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Image2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58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3" w:name="i-233"/>
            <w:bookmarkEnd w:id="233"/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  <w:t>12,909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full-time employees</w:t>
            </w:r>
          </w:p>
        </w:tc>
        <w:tc>
          <w:tcPr>
            <w:tcW w:w="284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  <w:t>77.4%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of employees are focused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on product development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*As of March 31,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additional information with respect to the Company's Human Capital Management, see Item 1 under the heading “Human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Capital Management” of Part I of the Company's Annual Report on Form 10-K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SUSTAINABILITY MATTERS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Sustainability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aim to integrate environmental responsibility into our operational and product strategies. We will seek to reduce our carbon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footprint and find opportunities for cost savings by seeking to make environmentally conscious choices in our offices worldwide.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Community &amp; Engagement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firmly believe that diversity of thought drives the innovation that is integral to our success. We strive to provide an inclusive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workplace in which everyone feels respected, heard, and safe. Our culture, grounded in compassion, collaboration, and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commitment to excellence, supports an inclusive and welcoming environment for prospective employees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broader community.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and Governance Policies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Outside Directorship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established a policy requiring (i) each director and executive officer to advise the Board of Directors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all of his or her directorships in other publicly-held or privately-held companies, and (ii) that all members of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may not sit on more than three outside public company boards. Directors are expected to ensure that other existing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commitments including service on other boards do not interfere with the member’s service as a Company Director. Annually,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 conducts a review of director commitment levels to ensure they are aligned with our service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expectations. The Corporate Governance Committee has reviewed the Company’s nominees for the Board of Directors and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that all nominees have the capacity to serve effectively on the Company’s Board of Directors.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Code of Business Conduct and Ethics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Code of Business Conduct and Ethics that applies to directors, officers and employees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Company, including the Company’s principal executive officer, principal financial officer, principal accounting officer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controller and any person performing similar functions. A copy of the Code of Business Conduct and Ethics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“Policies &amp; Conduct,” “Conduct and Social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Responsibility,” then “Global Code of Business Conduct and Ethics.”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Supplier Code of Conduct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also adopted a Supplier Code of Conduct that applies to vendors, suppliers, consultants and other third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parties we engage, which makes clear that we expect all of our business partners to operate fairly and ethically, comply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domestic and international laws, and promote a work environment that values honesty, openness, integrity, and respect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fundamental human rights, wherever in the world we do business. A copy of the Supplier Code of Conduct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“Polices &amp; Conduct,” then “Supplier Code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 Conduct.”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AND GOVERNANCE POLICIES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Policy on Majority Voting for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standard in the Company’s bylaws for uncontested director elections is a majority vote standard. In an uncontested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election, a director shall be elected if the number of votes that are cast “for” his or her election by holders of the stock present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person or represented by proxy entitled to vote on the election of directors exceeds the number of votes cast “against” his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her election by such holders. If a nominee who currently serves as a director is not re-elected, Delaware law provides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will continue to serve on our Board as a “holdover director” (i.e., until his or her successor has been duly elected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qualified, or until the earliest of his or her death, resignation or removal). In an uncontested election, any nominee for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fails to receive a greater number of votes cast “for” such individual’s election than votes cast “against” such election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promptly shall tender the individual’s resignation to the Corporate Governance Committee following certification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vote. The Corporate Governance Committee promptly will consider the resignation offer and recommend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the action to be taken with respect to such offered resignation. The Board of Directors will act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Committee’s recommendation within 90 days following the date of the Annual Meeting. Thereafter,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will disclose promptly its decision whether to accept the director’s resignation offer (and the reasons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rejecting the resignation offer, if applicable) in a Current Report on Form 8-K filed with the SEC. Any director tendering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resignation pursuant to this provision shall not participate in the Corporate Governance Committee recommendation or action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regarding whether to accept the resignation offer.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Securities Trading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Securities Trading Policy that applies to directors, officers, employees and consultants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Company, including the Company’s principal executive officer, principal financial officer, principal accounting officer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controller and any person performing similar functions. A copy of the Securities Trading Policy, which includes requirements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Rule 10b5-1 trading plans, is included as an exhibit to our Annual Report on Form 10-K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 year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 31, 2024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available through our Internet website at www.take2games.com or the SEC’s website at www.sec.gov.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Conflict of Interest Guidelines for Directors/Directors’ Code of Conduct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Conflict of Interest Guidelines for Directors/Directors’ Code of Conduct that applies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of the Company. A copy of the Conflict of Interest Guidelines for Directors/Directors’ Code of Conduct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“Policies &amp; Conduct,” then “Conflict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Guidelines for Directors” or “Guidelines for Directors and Board Governance,” as applicable.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OTHER EXECUTIVE OFFICERS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Other Executive Officers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of the following executive officers, who are not also directors, will serve in such capacity until the next Annual Meeting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or until earlier termination or removal from office.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4"/>
        <w:gridCol w:w="146"/>
        <w:gridCol w:w="8175"/>
      </w:tblGrid>
      <w:tr>
        <w:trPr/>
        <w:tc>
          <w:tcPr>
            <w:tcW w:w="1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4" name="Image2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4" w:name="i-234"/>
            <w:bookmarkEnd w:id="234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President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KARL SLATOFF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Slatoff became President of the Company in May 2013 and served as Chief Operating Officer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Company from October 2010 through April 2013. Mr. Slatoff serves as President of the Company pursuant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terms of the 2022 Management Agreement (as defined below) between the Company and ZMC. See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Certain Relationships and Related Transactions—Management Agreement.” From February 2008 to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2010, Mr. Slatoff served as an Executive Vice President of the Company. Mr. Slatoff also is a partner in ZMC.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 previously served as a director of Cannella Response Television, LLC and CommentSold, Inc.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Prior to joining ZMC in 2001, Mr. Slatoff served as Vice President, New Media for BMG Entertainment, where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he was responsible for guiding BMG’s online digital strategies, including the development of commercial digital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distribution initiatives and new business models for the sale and syndication of online content. From 1994 to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1996, he worked in strategic planning at the Walt Disney Company, where he focused on the consumer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products, studio and broadcast divisions, as well as several initiatives in the educational, publishing and new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media sectors. From 1992 to 1994, Mr. Slatoff worked in the corporate finance and mergers and acquisitions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units at Lehman Brothers where he focused on the consumer products and retail/merchandising industries.</w:t>
            </w:r>
          </w:p>
        </w:tc>
      </w:tr>
      <w:tr>
        <w:trPr/>
        <w:tc>
          <w:tcPr>
            <w:tcW w:w="1884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5" name="Image2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Image2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5" w:name="i-235"/>
            <w:bookmarkEnd w:id="235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Chief Financial Officer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LAINIE GOLDSTEIN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Ms. Goldstein has been Chief Financial Officer of the Company since June 2007, and is responsible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overseeing Finance, Investor Relations and Corporate Communications. Ms. Goldstein previously served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Company’s Senior Vice President of Finance from November 2003. Ms. Goldstein also serves as a director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member of the audit committee of Phreesia, Inc.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Ms. Goldstein is a CPA with financial and business experience in the software, entertainment, retail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apparel industries, with proven success in managing the finance function of publicly traded companies. Prior to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joining the Company, she held a number of positions of increasing responsibility with Nautica Enterprises, Inc.,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most recently serving as Vice President, Finance and Business Development. Earlier in her career, she held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positions in the audit and reorganization departments at Grant Thornton LLP.</w:t>
            </w:r>
          </w:p>
        </w:tc>
      </w:tr>
      <w:tr>
        <w:trPr/>
        <w:tc>
          <w:tcPr>
            <w:tcW w:w="1884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6" name="Image2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2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6" w:name="i-236"/>
            <w:bookmarkEnd w:id="236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Executive Vice President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Chief Legal Officer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54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DANIEL EMERSON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Emerson has served as Executive Vice President and General Counsel of the Company since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2014 and, effective May 2019, Mr. Emerson was made Chief Legal Officer. Mr. Emerson joined the Company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a Vice President in June 2005 and served in various capacities of increasing responsibility within the legal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department, including Senior Vice President, Corporate Secretary, Deputy General Counsel and General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Counsel. In addition to serving as the Chief Legal Officer of the Company, Mr. Emerson oversees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administrative management of Internal Audit on behalf of the Audit Committee.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Prior to joining the Company, Mr. Emerson was a partner in the New York office of the law firm Blank Rome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LLP, where he represented public and private companies across a variety of industries in mergers &amp;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acquisitions, securities law, financings and general corporate matters.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2: NON-BINDING ADVISORY VOTE TO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APPROVE THE COMPENSATION OF THE COMPANY’S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NAMED EXECUTIVE OFFICERS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accordance with the SEC’s proxy rules, we are seeking approval, on a non-binding advisory basis, of the compensation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Company’s “named executive officers” listed in the Summary Compensation Table (the “NEOs”)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as disclosed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this Proxy Statement pursuant to Item 402 of Regulation S-K, including the Compensation Discussion and Analysis,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tables, and the related narrative disclosures. This vote is not intended to address any specific item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compensation, but rather the overall compensation of our NEOs and the philosophy, policies and practices described in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Proxy Statement. This vote is commonly known as a “say-on-pay” advisory vote. Consistent with the approval by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shareholders, on an advisory basis, of an annual advisory vote on the compensation of the named executive officers, the Board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Directors has adopted a policy providing for annual “say-on-pay” advisory votes.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of our NEOs is described in detail in the “Compensation Discussion and Analysis” section of this Proxy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Statement beginning on </w:t>
      </w:r>
      <w:hyperlink w:anchor="ied2e19b3f4794281a776c57664cc980c_7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u w:val="single"/>
        </w:rPr>
        <w:t xml:space="preserve"> </w:t>
      </w:r>
      <w:hyperlink w:anchor="ied2e19b3f4794281a776c57664cc980c_7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26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which we encourage you to read for additional details on our executive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programs and compensation of our NEOs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executive compensation programs are based on three core principles that are designed to motivate our NEOs to achieve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financial and strategic objectives to enhance the profitability of the Company and create long-term shareholder value.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of our NEOs reflected these core principles: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4635" cy="1486535"/>
            <wp:effectExtent l="0" t="0" r="0" b="0"/>
            <wp:docPr id="237" name="Image2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237" descr="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635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7" w:name="i-237"/>
      <w:bookmarkEnd w:id="237"/>
    </w:p>
    <w:tbl>
      <w:tblPr>
        <w:tblW w:w="101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331"/>
        <w:gridCol w:w="955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38" name="Image2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2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8" w:name="i-238"/>
            <w:bookmarkEnd w:id="238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 substantial portion of our NEOs’ compensation was based on the financial performance of the Company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therefore “at risk”;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39" name="Image2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2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9" w:name="i-239"/>
            <w:bookmarkEnd w:id="239"/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majority of each NEO’s total compensation was provided in the form of long-term equity, two-thirds of which was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subject to performance-based vesting, including total shareholder return (“TSR”) and recurrent consumer spending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(“RCS”) performance metrics, to further align the interests of our NEOs and shareholders; and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40" name="Image2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0" w:name="i-240"/>
            <w:bookmarkEnd w:id="240"/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target total direct compensation package for each NEO was consistent with market practices for executive talent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 each NEO’s individual experience, responsibilities and performance.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believe that our compensation programs and policies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consistent with our core compensation principles,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provided an effective incentive for the achievement of positive results, aligned with shareholders’ interests, are supported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strong compensation governance practices and worthy of continued shareholder support. Accordingly, we ask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to indicate their support for the compensation paid to our NEOs by voting “FOR” the following non-binding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resolution at the Annual Meeting: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RESOLVED, that the Company’s shareholders approve the compensation of the named executive officers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including the Compensation Discussion and Analysis, the compensation tables, and the related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narrative disclosures as included in this Proxy Statement.”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Because your vote is advisory, the result will not be binding upon the Company. Although not binding, the Board of Directors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values the opinions of our shareholders and will carefully review and consider the outcome of the vote, along with other relevant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factors, in evaluating its compensation program for our NEOs.</w:t>
      </w:r>
    </w:p>
    <w:tbl>
      <w:tblPr>
        <w:tblW w:w="88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8491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7325"/>
                  <wp:effectExtent l="0" t="0" r="0" b="0"/>
                  <wp:docPr id="241" name="Image2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Image2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1" w:name="i-241"/>
            <w:bookmarkEnd w:id="241"/>
          </w:p>
        </w:tc>
        <w:tc>
          <w:tcPr>
            <w:tcW w:w="849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BOARD OF DIRECTORS BELIEVES THAT APPROVAL OF THE FOREGOING RESOLUTION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COMPENSATION OF THE NEOS IS IN THE BEST INTERESTS OF THE COMPANY AND UNANIMOUSLY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RECOMMENDS THAT SHAREHOLDERS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7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”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APPROVAL OF THE COMPENSATION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COMPANY’S NEOS, AS STATED IN THE ABOVE NON-BINDING RESOLUTION.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COMPENSATION DISCUSSION AND ANALYSIS</w:t>
      </w:r>
    </w:p>
    <w:tbl>
      <w:tblPr>
        <w:tblW w:w="51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6"/>
        <w:gridCol w:w="331"/>
      </w:tblGrid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7" w:type="dxa"/>
            <w:gridSpan w:val="2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20"/>
                <w:u w:val="none"/>
                <w:effect w:val="none"/>
              </w:rPr>
              <w:t>TABLE OF CONTENTS</w:t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ied2e19b3f4794281a776c57664cc980c_7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9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7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Executive Summary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Detailed Discussion and Analysis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Report of the Compensation Committee of the Board of Directors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Risk Assessment of Overall Compensation Program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ed2e19b3f4794281a776c57664cc980c_10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Discussion and Analysis section describes the material elements of our executive compensation program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including the NEOs as identified in the Summary Compensation Table and listed below:</w:t>
      </w:r>
    </w:p>
    <w:tbl>
      <w:tblPr>
        <w:tblW w:w="72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1"/>
        <w:gridCol w:w="109"/>
        <w:gridCol w:w="1108"/>
        <w:gridCol w:w="109"/>
        <w:gridCol w:w="1621"/>
        <w:gridCol w:w="109"/>
        <w:gridCol w:w="2191"/>
      </w:tblGrid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2" name="Image2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2" w:name="i-242"/>
            <w:bookmarkEnd w:id="242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3" name="Image2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Image2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3" w:name="i-243"/>
            <w:bookmarkEnd w:id="243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4" name="Image2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4" w:name="i-244"/>
            <w:bookmarkEnd w:id="244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5" name="Image2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2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5" w:name="i-245"/>
            <w:bookmarkEnd w:id="245"/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Strauss Zelnick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Executive Chairman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and Chief Executive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Karl Slatoff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President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Lainie Goldstein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Chief Financial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Daniel Emerson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Executive Vice President and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Chief Legal Officer</w:t>
            </w:r>
          </w:p>
        </w:tc>
      </w:tr>
    </w:tbl>
    <w:tbl>
      <w:tblPr>
        <w:tblW w:w="67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651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Messrs. Zelnick and Slatoff serve in their executive positions pursuant to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management agreement with ZMC, discussed below.</w:t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Take-Two is a leading developer, publisher and marketer of interactive entertainment for consumers around the globe.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 develop and publish products principally through Rockstar Games, 2K and Zynga.</w:t>
      </w:r>
    </w:p>
    <w:tbl>
      <w:tblPr>
        <w:tblW w:w="94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04"/>
        <w:gridCol w:w="109"/>
        <w:gridCol w:w="1696"/>
        <w:gridCol w:w="109"/>
        <w:gridCol w:w="109"/>
        <w:gridCol w:w="109"/>
        <w:gridCol w:w="1148"/>
        <w:gridCol w:w="109"/>
        <w:gridCol w:w="1696"/>
        <w:gridCol w:w="109"/>
        <w:gridCol w:w="109"/>
        <w:gridCol w:w="109"/>
        <w:gridCol w:w="903"/>
        <w:gridCol w:w="109"/>
        <w:gridCol w:w="165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3F3F3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3F3F3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6430" cy="594360"/>
                  <wp:effectExtent l="0" t="0" r="0" b="0"/>
                  <wp:docPr id="246" name="Image2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6" w:name="i-246"/>
            <w:bookmarkEnd w:id="246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 xml:space="preserve">Top Titles Include: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74370" cy="438785"/>
                  <wp:effectExtent l="0" t="0" r="0" b="0"/>
                  <wp:docPr id="247" name="Image2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Image2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7" w:name="i-247"/>
            <w:bookmarkEnd w:id="247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 xml:space="preserve">Top Titles Include: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8795" cy="475615"/>
                  <wp:effectExtent l="0" t="0" r="0" b="0"/>
                  <wp:docPr id="248" name="Image2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79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8" w:name="i-248"/>
            <w:bookmarkEnd w:id="248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Top Titles Include:</w:t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Grand Theft Auto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Red Dead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Redemption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L.A. Noire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Max Payne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Midnight Club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NBA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Borderlands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PGA TOUR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BioShock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Mafia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Sid Meier’s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Civilization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WWE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XCOM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Match Factory!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Toon Blast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CSR2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Merge Dragons!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Color Block Jam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Words With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Friends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Top Eleven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Empires &amp;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Puzzles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Zynga Poker </w:t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strategy is to create hit entertainment experiences, delivered on every platform relevant to our audience through a variety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sound business models. Our pillars - creativity, innovation, and efficiency - guide us as we strive to create the highest quality,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most captivating experiences for our consumers. We believe that our player-first approach and commitment to creativity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innovation are distinguishing strengths, enabling us to differentiate our products in the marketplace by combining advanced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technology with compelling gameplay that provide unique, deeply engaging experiences. Our teams have established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portfolio of proprietary software content for the major hardware and mobile platforms, and we aim to be at the forefront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technological innovation. We have a diverse portfolio that spans all key platforms and numerous genres, including action,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adventure, family, casual, hyper-casual, role-playing, shooter, social casino, sports, and strategy. This enables us to appeal to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wide array of consumers worldwide, ranging from game enthusiasts to casual gamers. Most of our intellectual property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internally owned and developed, which we believe best positions us financially and competitively. In addition, we license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selectively some highly recognizable renowned brands, particularly in sports entertainment. We support our products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innovative marketing programs created by our global teams.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management team and creative talent at Rockstar Games, 2K, and Zynga are essential to building and maintaining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strongest portfolio of Intellectual Property (“IP”) in the industry. Our compensation program is designed to reflect the importance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creative talent, including through the use of equity awards to establish strong links between our creative teams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long-term value creation for shareholders.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Select Fiscal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Performance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delivered strong financial results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continued to execute successfully on our strategy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capitalize on the popularity of video games by developing and publishing high-quality interactive entertainment experiences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across a range of genres.</w:t>
      </w:r>
    </w:p>
    <w:tbl>
      <w:tblPr>
        <w:tblW w:w="98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518"/>
        <w:gridCol w:w="1171"/>
        <w:gridCol w:w="796"/>
        <w:gridCol w:w="109"/>
        <w:gridCol w:w="109"/>
        <w:gridCol w:w="2281"/>
        <w:gridCol w:w="518"/>
        <w:gridCol w:w="1171"/>
        <w:gridCol w:w="84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10" w:type="dxa"/>
            <w:gridSpan w:val="10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Fiscal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Financial and Operating Results</w:t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Revenue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$6.66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Billion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Bookings (operating metric)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>$6.72</w:t>
            </w:r>
            <w:r>
              <w:rPr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>Billion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Revenue by Platform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Console, PC and Other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$3.32</w:t>
            </w:r>
            <w:r>
              <w:rPr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9225"/>
                  <wp:effectExtent l="0" t="0" r="0" b="0"/>
                  <wp:docPr id="249" name="Image2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2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9" w:name="i-249"/>
            <w:bookmarkEnd w:id="249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49.9%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 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z w:val="16"/>
              </w:rPr>
            </w:pPr>
            <w:r>
              <w:rPr>
                <w:rFonts w:ascii="Arial;sans-serif" w:hAnsi="Arial;sans-serif"/>
                <w:b w:val="false"/>
                <w:i/>
                <w:sz w:val="16"/>
              </w:rPr>
              <w:t>(virtual currency, add-on content, and in-game purchases)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Mobile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$5.20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8590"/>
                  <wp:effectExtent l="0" t="0" r="0" b="0"/>
                  <wp:docPr id="250" name="Image2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0" w:name="i-250"/>
            <w:bookmarkEnd w:id="250"/>
          </w:p>
        </w:tc>
        <w:tc>
          <w:tcPr>
            <w:tcW w:w="117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78.1%</w:t>
            </w:r>
          </w:p>
        </w:tc>
        <w:tc>
          <w:tcPr>
            <w:tcW w:w="8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$3.33</w:t>
            </w:r>
            <w:r>
              <w:rPr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9225"/>
                  <wp:effectExtent l="0" t="0" r="0" b="0"/>
                  <wp:docPr id="251" name="Image2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Image2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1" w:name="i-251"/>
            <w:bookmarkEnd w:id="251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50.1%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1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54140" cy="1895475"/>
            <wp:effectExtent l="0" t="0" r="0" b="0"/>
            <wp:docPr id="252" name="Image2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252" descr="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14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2" w:name="i-252"/>
      <w:bookmarkEnd w:id="252"/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Business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released successful hit titles, engaged players with a steady cadence of in-game content, and further strengthened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organization for the long term. Highlights from the year include: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Grand Theft Auto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series continued to outpace expectations significantly and demonstrated strong momentum leading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 to the planned launch of</w:t>
      </w:r>
      <w:r>
        <w:rPr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Grand Theft Auto VI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on November 19th. We had strong engagement driven by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 Safehouse in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Hills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–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one of the best-performing updates in its history. Sales of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Grand Theft Auto V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advanced further, with nearly 230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units sold-in to-date.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GTA+ also delivered significant growth year-over-year, driven by successful seasonal updates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highly attractive monthly benefits, such as the inclusion of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NBA 2K26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its games library.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Red Dead Redemption 2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remains a global favorite and has sold-in over 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units as of the end of fiscal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expanded its audience with sell-in surpassing 10 million units, a 5% increase over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Players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responded positively to new features and gameplay enhancements. We are also pleased with the performance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franchise’s brand extensions, including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2K25 Arcade Edition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 Online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China, and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NBA 2K All-Stars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mobile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title.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WWE 2K26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well received by critics and consumers alike. Fourth quarter engagement was excellent, with more than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85 million matches played – an increase of 7% compared to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WWE 2K25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Zynga concluded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healthy performance, led by its multi-studio approach and excellence in Live Ops: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Toon Blast posted significant growth again this year, as Peak introduced new events and features.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Match Factory! delivered strong results, with players responding positively to its live service execution and a pipeline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player-friendly features, including the collectible album.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Color Block Jam became a top-five title within Zynga’s portfolio.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Empires and Puzzles offered a robust slate of in-game events celebrating the title's ninth anniversary.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direct-to-consumer channel contributed to Net Bookings and margin growth as we integrated additional mobile titles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deepened player relationships by reducing payment friction and enhancing the user experience. These efforts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generating improvements in conversion and customer loyalty. As the regulatory landscape evolves, we are increasingly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confident in the sustainability and growth profile of this channel.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strong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also reflects the strategic steps management has taken over the past several years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fortify our balance sheet, expand and diversify our franchise portfolio, and improve our margin profile for the long term.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Shareholder Engagement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200400" cy="3291205"/>
            <wp:effectExtent l="0" t="0" r="0" b="0"/>
            <wp:docPr id="253" name="Image2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253" descr="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3" w:name="i-253"/>
      <w:bookmarkEnd w:id="253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maintain a robust year-round shareholder outreach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program that fosters ongoing, two-way dialogue on topics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find most important. Our Board members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regularly participate in these critically important conversations,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covering a diverse range of topics,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board, governance, sustainability and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shareholders, we were pleased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that our Say-on-Pay proposal received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95%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support reflecting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extensive outreach efforts and responsiveness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shareholder feedback.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Since the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Meeting,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sought discussions with holders representing more than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55% of our outstanding shares and have met with all investors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expressed an interest in engaging with us, representing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nearly one-third of our outstanding shares. Members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actively participated in meetings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holding over one-quarter of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outstanding 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continued overwhelmingly to express support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our compensation program. Consistent with prior feedback,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viewed favorably the increased rigor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disclosure of goal setting within our annual cash incentive program, the increased weighting of performance-based equity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 of our long-term incentive program, and the adoption of longer performance and vesting periods for equity awards.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enhancements were implemented in response to prior shareholder input and incorporated into a management agreement (the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2022 Management Agreement”) with ZMC, which became effective for the fiscal year ended March 31, 2023 (“fiscal 2023”).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Investors also responded positively to the formation of our Technology Risk Committee, which oversees key emerging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technology risks and opportunities, including cybersecurity and AI, and reports its findings to the full Board. In addition,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conversations surrounding our Human Capital Management policies were constructive and reflected continued support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approach to talent management.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tbl>
      <w:tblPr>
        <w:tblW w:w="98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3185"/>
        <w:gridCol w:w="3185"/>
        <w:gridCol w:w="3185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5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Shareholder Engagement Following the 2025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Annual Meeting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Shareholders Contacted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Engaged with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Director-Led Discussions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~56.4%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~31.8%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~28.3%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5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 xml:space="preserve">All percentages represent ownership of Take-Two outstanding common stock as reported by our shareholders’ most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>recent filings as of the date of this Proxy Statement.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key topics discussed during shareholder engagement activities following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included: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Practices: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remained pleased to see compensation program changes made in the past few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years, including enhanced performance goal rigor, longer performance and vesting periods for equity awards, a greater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emphasis on performance-based compensation, and expanded compensation-related disclosure.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Composition and Governance: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Board composition, tenure, refreshment, and emerging skill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sets. Investors responded favorably to the addition of an individualized Board skills matrix and accompanying disclosures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regarding the relevance of each skill represented on the Board. (see </w:t>
      </w:r>
      <w:hyperlink w:anchor="ied2e19b3f4794281a776c57664cc980c_4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ed2e19b3f4794281a776c57664cc980c_40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15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Planning and Board Refreshment.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the Company’s approach to leadership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and Board refreshment, including the Board’s rotation of leadership and committee roles to balance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perspectives with the institutional knowledge of directors who have served through the evolution of the interactive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entertainment industry. This included the appointment of a new Lead Independent Director in 2023, the appointment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Roland Hernandez as the new Corporate Governance Committee Chair in 2025, and the appointment of J Moses to lead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Technology Risk Committee.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Artificial Intelligence and Technology Oversight.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expressed interest in the Company’s approach to AI,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governance, oversight, and current and potential future applications across our business. Shareholders also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responded positively to the formation of the new Technology Risk Committee in October 2025, reflecting the growing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of emerging technology oversight in our industry and the importance of technology to our business as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 entertainment company. We discussed management’s oversight of AI implementation, as well as the new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Technology Risk Committee's role in monitoring AI-related risks and opportunities. We also emphasized our belief that AI can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enhance the capabilities and productivity of our workforce while complementing human creativity.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Sustainability Topics.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the Company’s approach to sustainability topics, including Human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and recognized the importance of our attracting, retaining and motivating key talent. Investors also highlighted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value of the Company’s broad-based equity compensation program in supporting these objectives for the Company’s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creative talent.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Variable Compensation Targets and Performance Achievement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and long-term incentives for ZMC and our other NEOs are based on measurable financial and share price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metrics that reflect key measures of our success. The following table summarizes the targets and actual results for both ZMC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NEO performance-based cash compensation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equity compensation linked to TSR and RCS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in fiscal 2026.</w:t>
      </w:r>
    </w:p>
    <w:tbl>
      <w:tblPr>
        <w:tblW w:w="9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1636"/>
        <w:gridCol w:w="1510"/>
        <w:gridCol w:w="1510"/>
        <w:gridCol w:w="1575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Financial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 Metrics</w:t>
            </w:r>
          </w:p>
        </w:tc>
        <w:tc>
          <w:tcPr>
            <w:tcW w:w="151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</w:tc>
        <w:tc>
          <w:tcPr>
            <w:tcW w:w="151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</w:tc>
        <w:tc>
          <w:tcPr>
            <w:tcW w:w="15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</w:tc>
      </w:tr>
      <w:tr>
        <w:trPr/>
        <w:tc>
          <w:tcPr>
            <w:tcW w:w="3481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Annual Incentive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34640" cy="487680"/>
                  <wp:effectExtent l="0" t="0" r="0" b="0"/>
                  <wp:docPr id="254" name="Image2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4" w:name="i-254"/>
            <w:bookmarkEnd w:id="254"/>
          </w:p>
        </w:tc>
      </w:tr>
      <w:tr>
        <w:trPr/>
        <w:tc>
          <w:tcPr>
            <w:tcW w:w="34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 xml:space="preserve">Performance-Based RSUs (Fiscal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Grant)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RCS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34640" cy="477520"/>
                  <wp:effectExtent l="0" t="0" r="0" b="0"/>
                  <wp:docPr id="255" name="Image2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Image2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5" w:name="i-255"/>
            <w:bookmarkEnd w:id="255"/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*      Relative TSR and RCS metrics are measured over the three-year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period ending March 31, 2028.</w:t>
            </w:r>
          </w:p>
        </w:tc>
      </w:tr>
      <w:tr>
        <w:trPr/>
        <w:tc>
          <w:tcPr>
            <w:tcW w:w="34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Annual Incentive Plan Target Setting</w:t>
      </w:r>
      <w:bookmarkStart w:id="256" w:name="ic3b5dbcf79c74a599b8a63fb471ce2da_17913"/>
      <w:bookmarkStart w:id="257" w:name="ic3b5dbcf79c74a599b8a63fb471ce2da_17912"/>
      <w:bookmarkEnd w:id="256"/>
      <w:bookmarkEnd w:id="257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Compensation Committee establishes the annual cash incentive based solely on performance against a budgeted Adjusted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EBITDA* goal set at the beginning of each fiscal year. Adjusted EBITDA is an objective measure that focuses our executives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growth and profitability, which the Committee believes is key to shareholder value creation. There is no discretionary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element to this goal.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setting an Adjusted EBITDA target, the Board of Directors works closely with management as part of an iterative process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 the budget and determine an appropriate target that aligns with the Company’s goals and objectives for the upcoming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year. The Board of Directors is guided by a philosophy to set rigorous, yet achievable goals that contain appropriate stretch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targets to motivate outperformance. The factors considered in determining the appropriate annual Adjusted EBITDA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 the Company’s projected annual release schedule, whether the releases are new IP or iterations of established IP,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expected investment in future research and development, and an analysis of the risks and opportunities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upcoming fiscal year. Because release schedules, investment amounts, and expected risks and opportunities differ year over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year, a rigorous target that provides an appropriate incentive for the Company’s executives will vary from year to year.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setting our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EBITDA targets, the Board of Directors specifically considered, among other factors: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expected product releases, including the expected timing of releases;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efforts to grow our mobile portfolio;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market conditions for our industry;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plan to build scale through organic initiatives.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these considerations,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EBITDA target was set at a level above the actual Adjusted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EBITDA achieved in the fiscal year ended March 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2025</w:t>
      </w:r>
      <w:r>
        <w:rPr>
          <w:caps w:val="false"/>
          <w:smallCaps w:val="false"/>
          <w:sz w:val="24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8333C"/>
          <w:sz w:val="14"/>
          <w:u w:val="none"/>
          <w:effect w:val="none"/>
        </w:rPr>
        <w:t>*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Adjusted EBITDA is a non-GAAP measure, which is defined as GAAP net income (loss) excluding the change in deferred net revenue and related cost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revenue, stock-based compensation, business reorganization, interest expense (income), depreciation and amortization, amortization and impairment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intangible assets, bonus, income taxes, fair value adjustments related to certain equity investments and acquisition-related costs. Refer to Annex A herein for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reconciliation of GAAP net income to the Adjusted EBITDA measure discussed above.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Annual Incentive Plan Achievement</w:t>
      </w:r>
      <w:bookmarkStart w:id="258" w:name="ic3b5dbcf79c74a599b8a63fb471ce2da_17914"/>
      <w:bookmarkEnd w:id="258"/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$919.5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Company achieved actual Adjusted EBITDA of $1,401.6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achievement was driven by: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Overperformance of our expectations by NBA 2K;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Overperformance of our expectations by our mobile business;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Better than expected performance by GTA Online and GTA V.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our Adjusted EBITDA performance exceeding 150% of target, ZMC and our other NEOs received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bonus payouts under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incentive plan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This marked the first time since fiscal 2021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payments were achieved, and reflects our outstanding operational and business performance in fiscal 2026.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further discussion of our results for fiscal 2026, see the above section titled “Select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Highlights.”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detailed description of the performance-based RSUs that vested, or failed to vest, in fiscal 2026, see “Compensation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Analysis—Detailed Discussion and Analysis—Principal Elements of Non-ZMC Related Executive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Compensation—NEO Long-Term Incentive Awards Vested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“Certain Relationships and Related Transactions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—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Agreement.”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ZMC 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Chairman and CEO Strauss Zelnick and President Karl Slatoff serve as executives of the Company under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Agreement with ZMC, a partnership of private equity investors that focuses on the media and communications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industry, of which they are partners. The 2022 Management Agreement (which runs through March 31, 2029) includes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enhancements from the prior 2017 Management Agreement that were implemented in response to direct feedback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shareholders:</w:t>
      </w:r>
    </w:p>
    <w:tbl>
      <w:tblPr>
        <w:tblW w:w="99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41"/>
        <w:gridCol w:w="3346"/>
        <w:gridCol w:w="561"/>
        <w:gridCol w:w="2491"/>
      </w:tblGrid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9" w:type="dxa"/>
            <w:gridSpan w:val="4"/>
            <w:tcBorders>
              <w:bottom w:val="single" w:sz="4" w:space="0" w:color="FFFFFF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ZMC Management Agreement Enhancements</w:t>
            </w:r>
          </w:p>
        </w:tc>
      </w:tr>
      <w:tr>
        <w:trPr/>
        <w:tc>
          <w:tcPr>
            <w:tcW w:w="354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Structural Element</w:t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2017 Management Agreement</w:t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Management Agreement</w:t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Percentage of at-risk compensation at max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(across both Annual Incentive and LTI awards)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71%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6" name="Image2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9" w:name="i-256"/>
            <w:bookmarkEnd w:id="259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80%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Proportion of performance-based equity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at target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55%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7" name="Image2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Image2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0" w:name="i-257"/>
            <w:bookmarkEnd w:id="260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67%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Measurement and vesting period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performance-based equity awards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Two years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8" name="Image2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2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1" w:name="i-258"/>
            <w:bookmarkEnd w:id="261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Three years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Vesting period of time-based equity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Two-year cliff vesting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9" name="Image2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2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2" w:name="i-259"/>
            <w:bookmarkEnd w:id="262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Three-year ratable vesting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Percentage of performance-based equity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tied to Relative TSR, RCS and IP metrics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 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12.5% RCS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12.5% IP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 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25% RCS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Relative TSR Peer Group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Nasdaq Composite Index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Nasdaq-100 Index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Rigorous Relative TSR Thresholds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40th percentile minimum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50th percentile target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75th percentile or above maximum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Same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Increased Transparency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60% cap on fees paid by ZMC to Mr. Zelnick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40% cap on fees paid by ZMC to Mr. Slatoff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Same</w:t>
            </w:r>
          </w:p>
        </w:tc>
      </w:tr>
      <w:tr>
        <w:trPr/>
        <w:tc>
          <w:tcPr>
            <w:tcW w:w="3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4" w:space="0" w:color="18333C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(1)Percentage based on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NEO Compensation Structure and Pay-for-Performance Principles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has developed compensation programs and arrangements designed to place a substantial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portion of our executives’ compensation at risk based on Company performance. Equity awards are a key element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of our executives, as well as creative talent throughout the organization, given the strong linkage equity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create between our executives and the long-term performance of our Company as well as the interests of our shareholders.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based on feedback received from shareholders, the Compensation Committee continued to structure ZMC’s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equity grant (i) to maintain 67% weighting on performance awards, ensuring that a significant portion of such equity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remained “at risk,” and (ii) to continue to have 25% of the vesting criteria for such performance awards subject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performance metric. Also based on feedback from shareholders, the Compensation Committee (i) continued to include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performance metric in the annual equity grant to our non-ZMC NEOs (comprising 25% of the performance awards),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(ii) maintained the three-year performance period for the performance awards issuable to all our NEOs to ensure continued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alignment with long-term shareholder value.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Compensation to All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believe our short-term and long-term incentives are balanced to help incentivize optimal performance and also note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there is no duplication in use of performance metrics between short-term and long-term programs.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our NEO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program consisted of three primary components: an annual management fee (for ZMC executives) or base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salary (for our non-ZMC NEOs), an annual incentive opportunity, and long-term incentive awards. The majority of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was performance-based and weighted toward long-term incentives.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summarizes such compensation components for our NEOs in fiscal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3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366"/>
        <w:gridCol w:w="1591"/>
        <w:gridCol w:w="2116"/>
        <w:gridCol w:w="217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Component</w:t>
            </w:r>
          </w:p>
        </w:tc>
        <w:tc>
          <w:tcPr>
            <w:tcW w:w="13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% Linked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</w:t>
            </w:r>
          </w:p>
        </w:tc>
        <w:tc>
          <w:tcPr>
            <w:tcW w:w="15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Delivery From</w:t>
            </w:r>
          </w:p>
        </w:tc>
        <w:tc>
          <w:tcPr>
            <w:tcW w:w="21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Link</w:t>
            </w:r>
          </w:p>
        </w:tc>
        <w:tc>
          <w:tcPr>
            <w:tcW w:w="21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Measurement/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Period</w:t>
            </w:r>
          </w:p>
        </w:tc>
      </w:tr>
      <w:tr>
        <w:trPr/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Annual Management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Fee / Annual Base Salary</w:t>
            </w:r>
          </w:p>
        </w:tc>
        <w:tc>
          <w:tcPr>
            <w:tcW w:w="13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</w:t>
            </w:r>
          </w:p>
        </w:tc>
        <w:tc>
          <w:tcPr>
            <w:tcW w:w="21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Incentive</w:t>
            </w:r>
          </w:p>
        </w:tc>
        <w:tc>
          <w:tcPr>
            <w:tcW w:w="13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</w:t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 year</w:t>
            </w:r>
          </w:p>
        </w:tc>
      </w:tr>
      <w:tr>
        <w:trPr/>
        <w:tc>
          <w:tcPr>
            <w:tcW w:w="20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Long-Term Incentive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(Equity Grants)</w:t>
            </w:r>
          </w:p>
        </w:tc>
        <w:tc>
          <w:tcPr>
            <w:tcW w:w="1366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67% at target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80% at maximum</w:t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Based Awards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75%: Relative TSR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25%: 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Performance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3-year measurement period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3-year cliff vest</w:t>
            </w:r>
          </w:p>
        </w:tc>
      </w:tr>
      <w:tr>
        <w:trPr/>
        <w:tc>
          <w:tcPr>
            <w:tcW w:w="20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Time-Based Awards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3-year ratable vesting for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ZMC executives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4-year ratable vesting for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non-ZMC NEOs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the Compensation Committee continued to include RCS performance-based vesting in awards granted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non-ZMC NEO’s in the same proportion as awards granted to ZMC. The Committee believes that emphasizing RCS growth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helps reduce the volatility in our business, since our release slate can vary from year to year, better positioning the Company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achieve our goal of sustained year over year growth. RCS performance is also a key measure of our mobile business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several of our major console-based franchises (including NBA 2K and Grand Theft Auto Online), all of which are strategic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priorities for our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Structural Pay and Performance Alignment for All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NEOs receive a mix of compensation that is appropriately weighted towards at-risk pay in the form of annual incentives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long-term incentives. The Compensation Committee believes this creates strong alignment with the Company’s 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philosophy of providing compensation commensurate with individual and corporate performance. The majority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incentive compensation is also delivered in the form of equity, which aligns executives’ incentives and the interests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 shareholders.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illustrates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mix, based on maximum compensation opportunities for ZMC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our other NEOs.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260" name="Image2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260" descr="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3" w:name="i-260"/>
      <w:bookmarkEnd w:id="263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261" name="Image2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261" descr="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4" w:name="i-261"/>
      <w:bookmarkEnd w:id="264"/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Highlights of Compensation Governance Practices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maintains strong compensation governance practices that support our pay-for-performance principles and align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incentives with the interests of our shareholders. We have adopted a number of “best practices” with respect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7810" cy="2375535"/>
            <wp:effectExtent l="0" t="0" r="0" b="0"/>
            <wp:docPr id="262" name="Image2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262" descr="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5" w:name="i-262"/>
      <w:bookmarkEnd w:id="265"/>
    </w:p>
    <w:tbl>
      <w:tblPr>
        <w:tblW w:w="4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48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3" name="Image2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2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6" w:name="i-263"/>
            <w:bookmarkEnd w:id="26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Clawback policy applicable to NEOs, including ZMC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4" name="Image2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7" w:name="i-264"/>
            <w:bookmarkEnd w:id="267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Incentive caps on annual bonuses to NEOs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5" name="Image2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Image2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8" w:name="i-265"/>
            <w:bookmarkEnd w:id="268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Strong anti-hedging and anti-pledging policies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6" name="Image2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9" w:name="i-266"/>
            <w:bookmarkEnd w:id="269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Double-trigger acceleration of vesting on a change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 control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7" name="Image2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Image2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0" w:name="i-267"/>
            <w:bookmarkEnd w:id="270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Meaningful stock ownership requirements (6x per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annum management fee, excluding any bonuses,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each of CEO/Chairman and President; 3x annual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base salary for other NEOs; and 5x annual cash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retainer for directors)</w:t>
            </w:r>
          </w:p>
        </w:tc>
      </w:tr>
    </w:tbl>
    <w:tbl>
      <w:tblPr>
        <w:tblW w:w="50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7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8" name="Image2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1" w:name="i-268"/>
            <w:bookmarkEnd w:id="271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Equity incentive plan provisions that prohibit re-pricing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 stock options without shareholder approval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9" name="Image2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2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2" w:name="i-269"/>
            <w:bookmarkEnd w:id="272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Limited perquisites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0" name="Image2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2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3" w:name="i-270"/>
            <w:bookmarkEnd w:id="273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tax gross ups in respect of any excise taxes 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parachute payments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1" name="Image2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Image2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4" w:name="i-271"/>
            <w:bookmarkEnd w:id="274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compensation risk assessment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 plans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2" name="Image2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2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5" w:name="i-272"/>
            <w:bookmarkEnd w:id="275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Retention of independent compensation consultants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 the Compensation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3" name="Image2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Image2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6" w:name="i-273"/>
            <w:bookmarkEnd w:id="276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Balanced compensation approach between short-and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long-term incentive opportunities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main body of this Compensation Discussion and Analysis provides details on the principles and objectives of our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compensation program and the Compensation Committee’s key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compensation-related decisions. This section is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organized into the following categories: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Objectives and Philosophy of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Competitive Market Positioning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to 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IV.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NEO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Principal Elements of Non-ZMC Related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 of the Compensation Committee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Governance Practices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I. Objectives and Philosophy of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executive compensation program is designed to drive Take-Two’s mission of producing strong, sustainable financial results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shareholders by creating the highest quality, most captivating experiences for our consumers. To achieve this objective,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seek to attract and retain executives who are committed to creativity, efficiency and innovation.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Accordingly, the Compensation Committee has established a market competitive compensation plan for our NEOs that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designed to: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95110" cy="1739265"/>
            <wp:effectExtent l="0" t="0" r="0" b="0"/>
            <wp:docPr id="274" name="Image2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274" descr="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11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77" w:name="i-274"/>
      <w:bookmarkEnd w:id="277"/>
    </w:p>
    <w:tbl>
      <w:tblPr>
        <w:tblW w:w="47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32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5" name="Image2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Image2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8" w:name="i-275"/>
            <w:bookmarkEnd w:id="278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Enhance the profitability of the Company and drive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value creation;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6" name="Image2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2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9" w:name="i-276"/>
            <w:bookmarkEnd w:id="279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Link a substantial portion of compensation to the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Company’s long-term financial and stock price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performance, thereby creating long-term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 value;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7" name="Image2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Image2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0" w:name="i-277"/>
            <w:bookmarkEnd w:id="280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Attract, motivate, and retain highly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qualified individuals;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7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8" name="Image2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1" w:name="i-278"/>
            <w:bookmarkEnd w:id="281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Reward each NEO’s contribution to the Company’s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profitability and growth; individual initiative, leadership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achievements; and management of risks; and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9" name="Image2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2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2" w:name="i-279"/>
            <w:bookmarkEnd w:id="282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Motivate NEOs to build a career at the Company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 contribute to our future success.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compensation program’s design, and in particular the use of equity awards as a key incentive element, establishes strong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links between our creative teams and long-term value creation for shareholders. Our compensation program reflects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of creative talent to our business and enables us to retain and incentivize these groups. As a result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we place on equity incentives, Take-Two may, in some years, have higher equity usage for share plans than some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peers; however, for the past three fiscal years we have been below the 50th percentile of our peer group. The Board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periodically authorizes share repurchases when it believes such actions are in the best interest of the shareholders;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repurchases directly reduce the number of the Company’s outstanding shares.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II. Competitive Market Positioning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determines pay levels for our NEOs based on a number of factors, including the individual’s role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responsibilities within the Company, the individual’s experience and expertise, historical compensation actually realized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individual, pay levels in the marketplace for similar positions, and performance of the individual and the Company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whole. In determining pay levels, the Compensation Committee considers all forms of compensation and benefits, including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mix thereof.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After consideration of data collected on external competitive levels of compensation and internal relationships within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group, the Compensation Committee makes decisions regarding each individual NEO’s target total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opportunity based on the need to attract, motivate and retain an experienced and effective management team.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Peer Group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year, the Compensation Committee, with the assistance of its independent compensation consultant, Frederic W. Cook &amp;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Co., Inc. (“FW Cook”), reviews and approves a peer group that is used to provide relevant market context for the Committee’s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decisions. In doing so, the Compensation Committee seeks to approve a peer group that is representative of the sector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we operate and includes companies with similar revenue and market capitalization as Take-Two.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the Compensation Committee approved a peer group of 18 companies. The Committee removed Peloton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Interactive, Inc., due to its declining revenues and market capitalization (small size), and added Live Nation Entertainment Inc.,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TKO Group Holdings Inc. and Warner Bros. Discovery, Inc. These additions were selected based on their relevance as leading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media and entertainment content producers and distributors and their comparability to Take-Two on key size measures,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revenue and market capitalization.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tbl>
      <w:tblPr>
        <w:tblW w:w="86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1981"/>
        <w:gridCol w:w="2086"/>
        <w:gridCol w:w="280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Videogame</w:t>
            </w:r>
          </w:p>
        </w:tc>
        <w:tc>
          <w:tcPr>
            <w:tcW w:w="4067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Internet &amp; Technology</w:t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Entertainment &amp; Leisure</w:t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Electronic Arts Inc.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Booking Holdings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Match Group,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DraftKings Inc.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Playtika Ltd.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eBay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Roku,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Fox Corporation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Roblox Corporation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Expedia Group,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Sirius XM Holdings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Hasbro, Inc.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Live Nation Entertainment Inc. *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Mattel, Inc.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Paramount Global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TKO Group Holdings Inc.*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Warner Bros. Discovery, Inc.*</w:t>
            </w:r>
          </w:p>
        </w:tc>
      </w:tr>
      <w:tr>
        <w:trPr/>
        <w:tc>
          <w:tcPr>
            <w:tcW w:w="18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Warner Music Group Corp.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*Added to peer group for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believes the peer group represents the most relevant set of publicly-traded companies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 benchmarking purposes. However, Take-Two has a limited number of direct public-company peers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within the videogame industry, as many competitors are privately held or incorporated in foreign jurisdictions that do not require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public disclosure of executive compensation information. This dynamic creates added challenges in constructing a statistically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reliable peer group and requires the Company to include its limited number of direct competitors while also broadening the peer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universe to encompass internet and technology, media and entertainment, and leisure companies with which we compete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talent. While imperfect, the Compensation Committee believes the resulting peer group is representative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markets in which the Company operates and provides an appropriate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balance of companies with similar revenue (generally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one-third to three times that of Take-Two) and market capitalization (generally one-quarter to four times that of Take-Two).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2027, as part of its annual review process, the Compensation Committee, with the assistance of FW Cook, reviewed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peer group in April 2026 and determined that no changes were warranted given the continued reasonableness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existing 18-company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Target Determinations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annually reviews total NEO compensation as compared to competitive market data.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of calculating annual target compensation for any fiscal year, the Compensation Committee includes base salary,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cash bonus, target long-term incentive compensation and any special awards.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III. Compensation to 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Take-Two has maintained a long-standing management relationship with ZMC since 2007, under which ZMC provides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management and other services to the Company. Our Executive Chairman and CEO, Strauss Zelnick, and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President, Karl Slatoff, serve in their current roles pursuant to the 2022 Management Agreement with ZMC. Mr. Zelnick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served as Executive Chairman since 2008 and our CEO since 2011, while Mr. Slatoff has served as President since May 2013.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the Company’s management structure and relationship with ZMC has been critical to building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franchises, improving profitability, strengthening the balance sheet, and providing disciplined management.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feedback has underscored the importance of maintaining this relationship with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Since engaging ZMC in 2007, the Company has evolved from single franchise dependency into a diversified global interactive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entertainment company with a broad portfolio of successful franchises and a leading mobile business. The Company has also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expanded geographically, in digital distribution and with new business models, and grown strategically, including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transformative acquisition of Zynga in fiscal 2023.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 3, 2022, the Company entered into the 2022 Management Agreement, which became effective on May 23, 2022 (the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Effective Date”) and, superseded the 2017 Management Agreement. Fees and incentives paid to ZMC during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detailed below under “Fiscal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 ZMC.” Based on shareholder feedback, the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incorporated several enhancements into the 2022 Management Agreement to increase the proportion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that is performance-based and further link the compensation paid to our CEO and President with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value creation,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88125" cy="5248275"/>
            <wp:effectExtent l="0" t="0" r="0" b="0"/>
            <wp:docPr id="280" name="Image2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280" descr="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2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83" w:name="i-280"/>
      <w:bookmarkEnd w:id="283"/>
    </w:p>
    <w:tbl>
      <w:tblPr>
        <w:tblW w:w="101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84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Increased emphasis on performance-based compensation.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Performance-based compensation has continued to be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sz w:val="24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80% at maximum achievement for fiscal 2026, and performance-based shares continued to be 67% of total equity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grant, up from 55% under the prior agreement.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Longer-term performance measurement and vesting periods.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performance measurement periods for both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RCS and relative TSR were lengthened from two years to three years, and time-based equity awards were lengthened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from two-year cliff vesting to ratable vesting over three years.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Enhanced focus on recurrent consumer spending metric, which is generated from ongoing consumer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engagement and includes revenue from virtual currency, add-on content, and in-game purchases, continues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focus executives’ attention on achieving key strategic goals.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weighting of the RCS metric increased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12.5% to 25% of performance-based equity grants. The Compensation Committee believes RCS is an important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measure of the performance of the Company’s mobile business and key franchises, including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NBA 2K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Grand Theft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 xml:space="preserve">Auto Online,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 supports the Company’s objective of delivering more consistent long-term growth. The remaining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75% of performance-based equity awards continue to vest based on relative TSR performance.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More rigorous relative TSR design.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relative TSR comparator group was updated from the Nasdaq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Composite Index to the Nasdaq-100 Index, while maintaining rigorous vesting thresholds, including a minimum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requirement at the 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 before any of the TSR shares began to vest, target performance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percentile, and maximum performance at the 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 relative performance. The relative TSR performance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payout schedule reflects the Board of Directors’ continued commitment to a strong pay for performance approach with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rigorous multi-year goal setting that in most cases exceeds minimum performance thresholds in place among our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compensation peers.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Increased disclosure.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Enhanced transparency, including disclosure of individual fee caps paid by ZMC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Messrs. Zelnick and Slatoff for their services to Take-Two.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TSR “catch-up” provision.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Performance-based equity grants are based solely on relative TSR and RCS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and do not include a TSR “catch-up” feature.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automatic annual fee increases.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Management Agreement does not provide for automatic increases to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annual fee.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Continued annual grant structure.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Agreements prior to the 2017 Management Agreement included an up-front equity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grant at the commencement of the agreement. The 2022 Management Agreement, like the 2017 Management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Agreement, provides for annual equity grants rather than a large up-front equity award, with future grants subject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Compensation Committee approval.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target compensation opportunity under the Management Agreement reflects the Company’s need for senior leaders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expertise spanning financial management, technology, and creative talent. This unique combination of skills limits the pool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qualified candidates and supports the Board’s decision to provide a competitive compensation opportunity for ZMC. Consistent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the Company’s pay-for-performance philosophy, a substantial portion of this compensation opportunity remains contingent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achieving superior 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Services Provided by ZMC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provisions of the Management Agreement establish the payments and benefits to which ZMC is entitled as consideration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providing certain valuable and unique services. These services include: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management and leadership delivered through the services of Executive Chairman and CEO Strauss Zelnick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President Karl Slatoff.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Resources of other ZMC partners that may provide services and advice to the Company on an as-needed basis.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First access to certain deal opportunities as they are identified by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Elevated market positioning due to the industry relationships of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and Compensation Committee believe that the services provided by ZMC, inclusive of the services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Zelnick and Mr. Slatoff, are a competitive advantage to Take-Two. The Board of Directors and the Compensation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regularly evaluate the relationship with ZMC to ensure that it is still the appropriate management structure for the Company.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facilitate this review: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least annually, the Compensation Committee interviews a broad spectrum of Company management to seek feedback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performance of Mr. Zelnick and Mr. Slatoff, as well as the other NEOs, and the relationship with ZMC, generally.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Feedback from these 360-degree interviews with Company management is discussed in executive sessions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members of the Board of 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Lead Independent Director regularly engages with members of the senior management team to discuss the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strategy of the Company in greater detail and provide additional guidance to such members of management.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engages in year-round shareholder outreach during which the 2022 Management Agreement and services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by ZMC are a topic of discussion, and the results of which are reported to the Board.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 xml:space="preserve">Fiscal </w:t>
      </w:r>
      <w:bookmarkStart w:id="284" w:name="i21cf2fc2895a47f78318da1546e84bda_11118"/>
      <w:bookmarkEnd w:id="284"/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Fees and Incentives to ZMC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fiscal 2026, and in accordance with the 2022 Management Agreement, ZMC received an annual management fee,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to earn an annual performance-based incentive tied to an objective Company performance measure, and received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long-term incentive equity grant consisting of both performance-based and time-based vesting RSUs.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to ZMC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 is summarized below:</w:t>
      </w:r>
    </w:p>
    <w:tbl>
      <w:tblPr>
        <w:tblW w:w="82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1"/>
        <w:gridCol w:w="226"/>
        <w:gridCol w:w="109"/>
        <w:gridCol w:w="1441"/>
        <w:gridCol w:w="226"/>
        <w:gridCol w:w="109"/>
        <w:gridCol w:w="1171"/>
        <w:gridCol w:w="226"/>
        <w:gridCol w:w="109"/>
        <w:gridCol w:w="1051"/>
        <w:gridCol w:w="226"/>
        <w:gridCol w:w="109"/>
        <w:gridCol w:w="1771"/>
      </w:tblGrid>
      <w:tr>
        <w:trPr/>
        <w:tc>
          <w:tcPr>
            <w:tcW w:w="1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Management Fee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RSUs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 Compensation</w:t>
            </w:r>
          </w:p>
        </w:tc>
      </w:tr>
      <w:tr>
        <w:trPr/>
        <w:tc>
          <w:tcPr>
            <w:tcW w:w="14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$13,200,000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$33,713,060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$66,818,000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(1)Fixed annual fee per the 2022 Management Agreement.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(2)Adjusted EBITDA achieved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approximately 152.4%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the budgeted target. As a result, ZMC earned the maximum annual incentive for fiscal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2026. The table below describes the payout schedule for the annual incentive opportunity, with proration on a straight-line basis between the amounts listed:</w:t>
      </w:r>
    </w:p>
    <w:tbl>
      <w:tblPr>
        <w:tblW w:w="28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109"/>
        <w:gridCol w:w="109"/>
        <w:gridCol w:w="916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Percentage of Adjusted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EBITDA Target Obtained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Amount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Annual Bonus</w:t>
            </w:r>
          </w:p>
        </w:tc>
      </w:tr>
      <w:tr>
        <w:trPr/>
        <w:tc>
          <w:tcPr>
            <w:tcW w:w="16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80% or less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$6,600,000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$8,014,286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$9,428,572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$10,685,714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$11,942,858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$13,200,000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Above 150%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$13,200,000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the planning value of the grant made on June 2, 2025. Amount reported assumes that target TSR and Recurrent Consumer Spending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 is met, resulting in the vesting of 149,477 RSUs. If the maximum performance achievement is met, 298,954 RSUs would vest. Relative TSR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vesting is a function of the Company’s TSR during the performance period, which commenced on June 1, 2025 and ends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31, 2028 (which is the end of the third fiscal year during such period), as compared to the TSR generated by the companies that comprise the Nasdaq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100 Index on the first day of the performance period. We use the Nasdaq 100 Index for this purpose, rather than a narrow peer group, given the small size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our public company compensation peer group and the stock price volatility of those peers. The table below describes the vesting schedule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equity based on achievement of relative TSR over such performance period, with proration on a straight-line basis between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 amounts listed:</w:t>
      </w:r>
    </w:p>
    <w:tbl>
      <w:tblPr>
        <w:tblW w:w="3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69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TSR Percentile Rank</w:t>
            </w:r>
          </w:p>
        </w:tc>
        <w:tc>
          <w:tcPr>
            <w:tcW w:w="16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TSR Vesting Percentage</w:t>
            </w:r>
          </w:p>
        </w:tc>
      </w:tr>
      <w:tr>
        <w:trPr/>
        <w:tc>
          <w:tcPr>
            <w:tcW w:w="16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Less than 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Recurrent Consumer Spending performance-based vesting is determined by comparing the following two measurements and using the measurement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results in the greatest number of RSUs vesting: (i) the percentage change between the Recurrent Consumer Spending for the base fiscal year (which is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year prior to the fiscal year in which the grant was made) and the three-year average Recurrent Consumer Spending for the three fiscal years following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base fiscal year (“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Absolute Recurrent Consumer Spending Growth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) and (ii) the three-year average Recurrent Consumer Spending for the three fiscal years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following the base fiscal year as a percentage of the three-year average total net bookings for the same period (“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Relative Recurrent Consumer Spending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Recurrent Consumer Spending is defined as the consolidated net bookings generated by the Company that are supplemental to the sale of any full game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release from the sale of virtual currency, add-on content, in-game purchases and similar items, calculated on a basis consistent with how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calculates recurrent consumer spending for its management reporting. The table below describes the vesting schedule for the Recurrent Consumer Spending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shares with proration on a straight line basis between the amounts listed (with the measurement that results in the greatest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vesting being determinative):</w:t>
      </w:r>
    </w:p>
    <w:tbl>
      <w:tblPr>
        <w:tblW w:w="52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1"/>
        <w:gridCol w:w="2071"/>
      </w:tblGrid>
      <w:tr>
        <w:trPr/>
        <w:tc>
          <w:tcPr>
            <w:tcW w:w="3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Absolute Recurrent Consumer Spending Growth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(during the relevant measurement period)</w:t>
            </w:r>
          </w:p>
        </w:tc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Absolute Recurrent Consumer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Spending Vesting Percentage</w:t>
            </w:r>
          </w:p>
        </w:tc>
      </w:tr>
      <w:tr>
        <w:trPr/>
        <w:tc>
          <w:tcPr>
            <w:tcW w:w="31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Less than 3%</w:t>
            </w:r>
          </w:p>
        </w:tc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3%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6%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 or greater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tbl>
      <w:tblPr>
        <w:tblW w:w="58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2041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Relative Recurrent Consumer Spending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(as a percentage of three-year average total net bookings)</w:t>
            </w:r>
          </w:p>
        </w:tc>
        <w:tc>
          <w:tcPr>
            <w:tcW w:w="20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Relative Recurrent Consumer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Spending Vesting Percentage</w:t>
            </w:r>
          </w:p>
        </w:tc>
      </w:tr>
      <w:tr>
        <w:trPr/>
        <w:tc>
          <w:tcPr>
            <w:tcW w:w="3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Less than 45%</w:t>
            </w:r>
          </w:p>
        </w:tc>
        <w:tc>
          <w:tcPr>
            <w:tcW w:w="20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45%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50%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55% or greater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(4)Represents the planning value of the grant made on June 2, 2025. Awards will vest 1/3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9"/>
          <w:u w:val="none"/>
          <w:effect w:val="none"/>
        </w:rPr>
        <w:t>rd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each of June 1, 2027 and June 1, 2028 (with 1/3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9"/>
          <w:u w:val="none"/>
          <w:effect w:val="none"/>
        </w:rPr>
        <w:t>rd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having previously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vested on June 1, 2026), for the grant made on June 2, 2025, in each case provided that the Management Agreement has not been terminated prior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such date.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detailed description of the fees and incentives to ZMC under the Management Agreement, including the RSUs awarded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 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2027 and the awards vested in fiscal 2026, see “Certain Relationships and Related Transactions—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 Agreement.”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Compensation of Mr. Zelnick and Mr. Slatoff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Management Agreement, Mr. Zelnick may not receive more than 60% of the aggregate compensation paid to ZMC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Mr. Slatoff may not receive more than 40%. These individual caps enhance transparency regarding the maximum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payable to each executive. Subject to these limitations, the allocation of compensation among ZMC’s principals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 determined solely by ZMC, and the Company has no role in that process.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Zelnick and Mr. Slatoff each continue to receive annual compensation of $1 from the Company, which enables them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participate in certain health and other plan benefits, the value of which is described in the Summary Compensation Table below.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Slatoff receives his $1 of annual compensation pursuant to an employment agreement entered into with the Company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February 2008, the terms of which are described under “Executive Compensation—Narrative Disclosure Regarding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Plans and Employment Agreements—Employment Agreements—Karl Slatoff” below.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For illustrative purposes only, the table below assumes that ZMC allocated the maximum permitted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under the 2022 Management Agreement, with 60% allocated to Mr. Zelnick and 40% allocated to Mr. Slatoff:</w:t>
      </w:r>
    </w:p>
    <w:tbl>
      <w:tblPr>
        <w:tblW w:w="86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09"/>
        <w:gridCol w:w="236"/>
        <w:gridCol w:w="1628"/>
        <w:gridCol w:w="176"/>
        <w:gridCol w:w="109"/>
        <w:gridCol w:w="229"/>
        <w:gridCol w:w="1580"/>
        <w:gridCol w:w="171"/>
        <w:gridCol w:w="109"/>
        <w:gridCol w:w="229"/>
        <w:gridCol w:w="1720"/>
        <w:gridCol w:w="241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Minimum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≤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80%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&lt;40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Less than Min Recurrent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Consumer Spending Goal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100%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Target Recurrent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Consumer Spending Goal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150%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Max 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Goal</w:t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Annual Management Fee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Annual Incentive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Metric: Adjusted EBITDA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$6,600,000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$13,200,000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Time-Based RSUs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Performance-Based RSUs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Metrics: TSR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Performance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$33,713,060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$67,426,120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Total Compensation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Opportunity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$19,904,940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$60,218,000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$100,531,060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Maximum Opportunity at 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Each Performance Level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61085" cy="1188720"/>
                  <wp:effectExtent l="0" t="0" r="0" b="0"/>
                  <wp:docPr id="281" name="Image2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2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5" w:name="i-281"/>
            <w:bookmarkEnd w:id="285"/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188720"/>
                  <wp:effectExtent l="0" t="0" r="0" b="0"/>
                  <wp:docPr id="282" name="Image2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6" w:name="i-282"/>
            <w:bookmarkEnd w:id="286"/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188720"/>
                  <wp:effectExtent l="0" t="0" r="0" b="0"/>
                  <wp:docPr id="283" name="Image2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2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7" w:name="i-283"/>
            <w:bookmarkEnd w:id="287"/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(1)For purposes of this illustrative table, includes the planning values for the performance-based and time-based RSUs granted to ZMC in June 2025.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targets set by the Board of Directors have been sufficiently challenging as illustrated by the varied payouts to ZMC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Annual Incentive Plan and Performance Equity Awards over the last several years:</w:t>
      </w:r>
      <w:r>
        <w:rPr>
          <w:caps w:val="false"/>
          <w:smallCaps w:val="false"/>
          <w:u w:val="single"/>
        </w:rPr>
        <w:t xml:space="preserve"> </w:t>
      </w:r>
    </w:p>
    <w:tbl>
      <w:tblPr>
        <w:tblW w:w="5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6"/>
        <w:gridCol w:w="2176"/>
        <w:gridCol w:w="2731"/>
      </w:tblGrid>
      <w:tr>
        <w:trPr/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83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 Incentive Plan Achievement</w:t>
            </w:r>
          </w:p>
        </w:tc>
      </w:tr>
      <w:tr>
        <w:trPr/>
        <w:tc>
          <w:tcPr>
            <w:tcW w:w="9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</w:t>
            </w:r>
          </w:p>
        </w:tc>
        <w:tc>
          <w:tcPr>
            <w:tcW w:w="21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Adjusted EBITDA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(% of target)</w:t>
            </w:r>
          </w:p>
        </w:tc>
        <w:tc>
          <w:tcPr>
            <w:tcW w:w="27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Incentive Plan Payout</w:t>
            </w:r>
          </w:p>
        </w:tc>
      </w:tr>
      <w:tr>
        <w:trPr/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2026</w:t>
            </w:r>
          </w:p>
        </w:tc>
        <w:tc>
          <w:tcPr>
            <w:tcW w:w="21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152.4%</w:t>
            </w:r>
          </w:p>
        </w:tc>
        <w:tc>
          <w:tcPr>
            <w:tcW w:w="27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Maximum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99.9%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Slightly less than target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88.6%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 than target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79.2%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139.8%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 than maximum cash bonus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tbl>
      <w:tblPr>
        <w:tblW w:w="56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666"/>
        <w:gridCol w:w="2746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88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Performance Equity Vesting Achievement</w:t>
            </w:r>
          </w:p>
        </w:tc>
      </w:tr>
      <w:tr>
        <w:trPr/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 Date</w:t>
            </w:r>
          </w:p>
        </w:tc>
        <w:tc>
          <w:tcPr>
            <w:tcW w:w="166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Forfeited (#)</w:t>
            </w:r>
          </w:p>
        </w:tc>
        <w:tc>
          <w:tcPr>
            <w:tcW w:w="27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Forfeited (% of 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opportunity)</w:t>
            </w:r>
          </w:p>
        </w:tc>
      </w:tr>
      <w:tr>
        <w:trPr/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June 1, 2026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64,812</w:t>
            </w:r>
          </w:p>
        </w:tc>
        <w:tc>
          <w:tcPr>
            <w:tcW w:w="274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17%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May 30, 2025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May 31, 2024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67,920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12, 2024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18,876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13, 2023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40,985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33%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13, 2022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55,126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relative TSR achievement for the awards that vested in fiscal 2026 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TSR performance-based RSUs, (i.e. 200% of target), and no shares being forfeited. The Company’s RCS achievement for the awards that vested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2026 was in excess of the maximum goal, which resulted in the maximum vesting percentage for the RCS performance-based RSUs (i.e., 200%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target), and no shares being forfeited.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Additionally, the compensation received by ZMC and the other NEOs is strongly aligned with the Company’s TSR performance.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consistently delivered TSR performance sufficient to earn vesting of TSR-based awards, including top-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quartile performance for the periods ended March 31, 2021 and March 31, 2025, and above 50th percentile performance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periods ended March 31, 2022, March 31, 2023, March 31, 2024, and March 31,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IV. Other NEO Compensation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NEOs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Ms. Goldstein, our Chief Financial Officer, and Mr. Emerson, our Executive Vice President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Chief Legal Officer. Pay opportunities for specific individuals vary based on a number of factors, such as scope of duties,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tenure, institutional knowledge and/or difficulty in recruiting a new executive. Actual total compensation and the mix of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in a given year will vary above or below the target compensation levels based primarily on the attainment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operational goals and the creation of shareholder value. The Compensation Committee believes that each of the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packages to Ms. Goldstein and Mr. Emerson are within the competitive range of practices when compared to the objective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comparative data.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Compensation Overview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May 2018 and January 2015, the Company entered into amended employment agreements with Ms. Goldstein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Emerson, respectively, which provide for a base salary, target cash bonus, and target long-term incentive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opportunities. The details of those employment agreements are discussed below under “Executive Compensation—Narrative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Disclosure Regarding Equity Plans and Employment Agreements—Employment Agreements.”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Goldstein’s and Mr. Emerson’s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compensation was comprised of:</w:t>
      </w:r>
    </w:p>
    <w:tbl>
      <w:tblPr>
        <w:tblW w:w="77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09"/>
        <w:gridCol w:w="916"/>
        <w:gridCol w:w="109"/>
        <w:gridCol w:w="109"/>
        <w:gridCol w:w="916"/>
        <w:gridCol w:w="1726"/>
        <w:gridCol w:w="109"/>
        <w:gridCol w:w="256"/>
        <w:gridCol w:w="2279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 Salary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1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Target Annual 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Bonus Opportunity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(based on Adjusted EBITDA)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Target 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Opportunity (66.7% subject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vesting)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$1,000,000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$1,500,000</w:t>
            </w:r>
          </w:p>
        </w:tc>
        <w:tc>
          <w:tcPr>
            <w:tcW w:w="17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(150% of base salary)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$6,120,000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$850,000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$1,062,500</w:t>
            </w:r>
          </w:p>
        </w:tc>
        <w:tc>
          <w:tcPr>
            <w:tcW w:w="17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(125% of base salary)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$4,200,000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the Company’s Adjusted EBITDA performance for fiscal 2026, Ms. Goldstein and Mr. Emerson each received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cash bonuses for such period in the following amounts: Ms. Goldstein, $3,000,000; Mr. Emerson, $2,125,000. For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of the Company’s Adjusted EBITDA goals and performance, see “Compensation Discussion and Analysis—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Summary—Fiscal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Variable Compensation Targets and Performance Achievement.”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V. Principal Elements of Non-ZMC Related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Pay Elements—Overview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 for our NEOs consists of the following elements:</w:t>
      </w:r>
    </w:p>
    <w:tbl>
      <w:tblPr>
        <w:tblW w:w="59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339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 Compensation Elements</w:t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Indirect Compensation Elements</w:t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Base Salary</w:t>
            </w:r>
          </w:p>
        </w:tc>
        <w:tc>
          <w:tcPr>
            <w:tcW w:w="339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Compensation/Employee Benefits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Cash Incentive</w:t>
            </w:r>
          </w:p>
        </w:tc>
        <w:tc>
          <w:tcPr>
            <w:tcW w:w="33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Severance and Change in Control Protection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Long-Term Equity Incentives</w:t>
            </w:r>
          </w:p>
        </w:tc>
        <w:tc>
          <w:tcPr>
            <w:tcW w:w="33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Base Salary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is intended to provide fixed pay that considers an NEO’s role and responsibilities, experience, expertise,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marketplace comparables and individual performance, and although established by the NEOs’ employment agreements,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subject to annual review by the Compensation Committee, including for discretionary year-to-year increases.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Goldstein’s base salary was set at $1,000,000 in fiscal 2023 based on Ms. Goldstein’s strong individual performance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to the organization as a key senior leader and peer benchmarking. Ms. Goldstein’s base salary remained the same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2024, fiscal 2025 and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remains the same for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Emerson’s base salary was set at $850,000 in fiscal 2023 based on Mr. Emerson’s strong individual performance and value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organization as a key senior leader and peer benchmarking. Mr. Emerson’s base salary remained the same for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2024, fiscal 2025 and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remains the same for fiscal 2027.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Annual Cash Incentive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has the authority to award annual performance-based cash bonuses to the NEOs pursuant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their employment agreements with the Company. The Compensation Committee believes that an annual performance-based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opportunity provides the incentives necessary to retain our NEOs and reward them for their attainment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 goals.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bonus awards for Ms. Goldstein and Mr. Emerson are 100% performance-based and solely dependent on achievement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budgeted Adjusted EBITDA targets for the applicable fiscal year, which are predetermined at the beginning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year. The Compensation Committee believes that using budgeted Adjusted EBITDA as the core performance metric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bonus design represents an appropriate measure of the Company’s performance and an appropriate way to align NEOs’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short-term incentives with our shareholders’ interests. For a description of the Board’s target-setting process as well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disclosure regarding how we fared against that target please see the above sections titled “Annual Incentive Plan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Setting” and “Annual Incentive Plan Achievement” on </w:t>
      </w:r>
      <w:hyperlink w:anchor="ic3b5dbcf79c74a599b8a63fb471ce2da_1791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c3b5dbcf79c74a599b8a63fb471ce2da_1791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31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amounts for Ms. Goldstein and Mr. Emerson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a function of Adjusted EBITDA relative to target, as 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forth in the following table:</w:t>
      </w:r>
    </w:p>
    <w:tbl>
      <w:tblPr>
        <w:tblW w:w="6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408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Adjusted EBITDA Achievement</w:t>
            </w:r>
          </w:p>
        </w:tc>
        <w:tc>
          <w:tcPr>
            <w:tcW w:w="40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Bonus for Ms. Goldstein and Mr. Emerson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Less than 80% of the budget</w:t>
            </w:r>
          </w:p>
        </w:tc>
        <w:tc>
          <w:tcPr>
            <w:tcW w:w="40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No bonus earned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80% - 100%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36%-100%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 - 120%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100%-140%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120% - 150%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140%-200%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Greater than 150%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Capped at 200% of target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Budgeted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$919.5 million, which was set above the actual Adjusted EBITDA achieved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2025.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achieved actual Adjusted EBITDA of $1,401.6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(approximately 152.4%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budgeted Adjusted EBITDA), which resulted in the following annual cash bonus payouts:</w:t>
      </w:r>
    </w:p>
    <w:tbl>
      <w:tblPr>
        <w:tblW w:w="9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916"/>
        <w:gridCol w:w="109"/>
        <w:gridCol w:w="2522"/>
        <w:gridCol w:w="1738"/>
        <w:gridCol w:w="2524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 </w:t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$1,000,000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224655" cy="447040"/>
                  <wp:effectExtent l="0" t="0" r="0" b="0"/>
                  <wp:docPr id="284" name="Image2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65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8" w:name="i-284"/>
            <w:bookmarkEnd w:id="288"/>
          </w:p>
        </w:tc>
      </w:tr>
      <w:tr>
        <w:trPr/>
        <w:tc>
          <w:tcPr>
            <w:tcW w:w="12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$850,000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224655" cy="447040"/>
                  <wp:effectExtent l="0" t="0" r="0" b="0"/>
                  <wp:docPr id="285" name="Image2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2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65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9" w:name="i-285"/>
            <w:bookmarkEnd w:id="289"/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Long-Term Equity Incentives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Equity is an essential tool for attracting and retaining the creative and technical talent that drives our business. Our creative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teams are critical to our continued success, and equity awards help align their interests as well as those of our NEOs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key employees, with long-term shareholder value creation. The Compensation Committee regularly evaluates the use of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awards and expects to continue using such awards as a core element of the Company’s compensation program. Equity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generally granted to new key employees in the a month basis following the commencement of employment and to existing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key employees on an annual basis.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All equity grants made to employees, including the NEOs, are approved by the Compensation Committee. The 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outstanding awards granted to our NEOs are governed by the Company’s 2017 Stock Incentive Plan, as amended and restated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(the “2017 Plan”), which is discussed further in “Executive Compensation—Narrative Disclosure Regarding Equity Plans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 Agreements.”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generally uses a mix of performance-based and time-based vesting for NEO long-term equity awards to achieve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distinct purposes. Performance-based vesting awards align executive incentives with shareholder outcomes and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creation, while time-based vesting awards emphasize the retention of skilled executives.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Incentives Awarded in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approved the following RSU awards for Ms. Goldstein and Mr. Emerson, which were granted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June 2025:</w:t>
      </w:r>
    </w:p>
    <w:tbl>
      <w:tblPr>
        <w:tblW w:w="91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84"/>
        <w:gridCol w:w="867"/>
        <w:gridCol w:w="109"/>
        <w:gridCol w:w="111"/>
        <w:gridCol w:w="940"/>
        <w:gridCol w:w="109"/>
        <w:gridCol w:w="1336"/>
        <w:gridCol w:w="109"/>
        <w:gridCol w:w="142"/>
        <w:gridCol w:w="1194"/>
        <w:gridCol w:w="204"/>
        <w:gridCol w:w="1131"/>
        <w:gridCol w:w="109"/>
        <w:gridCol w:w="140"/>
        <w:gridCol w:w="1241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33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RSUs 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8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9,045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$2,040,000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18,089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$4,080,000</w:t>
            </w:r>
          </w:p>
        </w:tc>
        <w:tc>
          <w:tcPr>
            <w:tcW w:w="20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36,178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$8,160,000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8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6,207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$1,400,000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12,414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$2,800,000</w:t>
            </w:r>
          </w:p>
        </w:tc>
        <w:tc>
          <w:tcPr>
            <w:tcW w:w="20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24,828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$5,600,000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the aggregate grant date fair values of the shares displayed in the Summary Compensation Table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the Grants of Plan-Based Awards 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later in this Proxy Statement are computed in accordance with US GAAP, the values in those tables differ from the planning values displayed in the table above.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number of RSUs included in each of the above grants was determined by dividing the grant value (which was based in part on peer benchmarking)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average of the closing prices of the Company’s common stock on the 30 trading days immediately prior to June 1,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made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grants in the form of RSUs, rather than restricted stock, in order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preserve flexibility to settle the awards in stock, cash or a combination of stock and cash. A portion of these RSUs, equal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33.3% of the value at target, are time-based RSUs and cliff vest 25% on the first anniversary of the grant date, and then vest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12 quarterly installments thereafter. The remaining portion of these RSUs, equal to 66.7% of the value at target,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that cliff vest 100% on June 1, 2028, subject to satisfaction of TSR and RCS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vesting period, equivalent to the TSR and RCS performance based criteria in ZMC’s performance-based awards.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more detailed description of the TSR and RCS performance criteria, see “Compensation Discussion and Analysis—Detailed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Analysis—Fiscal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 ZMC” of this Proxy Statement.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the Compensation Committee decided to continue to include RCS based performance vesting in awards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to our non-ZMC NEOs in the same proportion as awards granted to ZMC. The Committee believes that emphasizing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growth supports the Company’s objective of delivering sustained year-over-year growth and that the metric represents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important indicator of the performance of our mobile business and several of our key console-based franchises (including NBA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2K and Grand Theft Auto Online), all of which are strategic priorities for the Company.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 Awards Vested in Fiscal 2026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results and payout levels for the performance-based RSUs granted to Ms. Goldstein and Mr. Emerson prior to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vested, or failed to vest, in fiscal 2026, are as follows:</w:t>
      </w:r>
    </w:p>
    <w:tbl>
      <w:tblPr>
        <w:tblW w:w="69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2731"/>
        <w:gridCol w:w="2956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Performance-Based RSUs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  <w:tc>
          <w:tcPr>
            <w:tcW w:w="29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Performance-Based RSUs 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27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66,700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29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45,774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29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66,700 performance-based RSUs originally granted on June 1, 2022, which vested on May 30, 2025 as a result of maximum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criteria achievement.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(2)Represents 45,774 performance-based RSUs originally granted on June 1, 2022, which vested on May 30,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performance-based RSUs that vested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only relative TSR performance-based vesting, and the Company’s relative TSR achievement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awards that vested in fiscal 2026 was the 78th percentile, which resulted in the maximum vesting percentage for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(i.e. 200% of target), and no shares being forfeited.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the compensation received by the NEOs is closely aligned with the Company’s TSR performance. As described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earlier in the CD&amp;A, the Company has delivered strong relative TSR performance across multiple measurement periods,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including top-quartile performance in certain periods, which is reflected in the vesting of TSR-based equity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description of the results and payout levels for performance-based RSUs previously granted to ZMC that vested, or failed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vest, in fiscal 2026, see “Certain Relationships and Related Transactions—Management Agreement.”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Incentives Awarded in Fiscal 2027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May 2026, the Compensation Committee approved the following fiscal 2027 RSU awards for Ms. Goldstein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Emerson:</w:t>
      </w:r>
    </w:p>
    <w:tbl>
      <w:tblPr>
        <w:tblW w:w="92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051"/>
        <w:gridCol w:w="109"/>
        <w:gridCol w:w="111"/>
        <w:gridCol w:w="940"/>
        <w:gridCol w:w="109"/>
        <w:gridCol w:w="1336"/>
        <w:gridCol w:w="109"/>
        <w:gridCol w:w="142"/>
        <w:gridCol w:w="1194"/>
        <w:gridCol w:w="109"/>
        <w:gridCol w:w="1336"/>
        <w:gridCol w:w="109"/>
        <w:gridCol w:w="129"/>
        <w:gridCol w:w="1252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(#)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11,427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$2,550,000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22,854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$5,100,000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45,708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$10,200,000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0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7,618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$1,700,000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15,236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$3,400,000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30,472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$6,800,000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the aggregate grant date fair values of these awards that will be displayed in the Summary Compensation Table and the Grants of Plan-Based Awards table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 our Proxy Statement for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Annual Meeting of Shareholders will be computed in accordance with US GAAP, the values in those tables may differ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values displayed in the table above.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these grants made in fiscal 2027, the Compensation Committee decided to continue to link 75% to relative TSR performance and 25% to RCS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performance, which aligns with the performance vesting criteria in the RSU grants made to ZMC. The number of RSUs included in each of the above grants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determined by dividing the grant value (which was based in part on peer benchmarking) by the average of the closing prices of the Company’s common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stock on the 30 trading days immediately prior to June 1, 2026.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After reviewing the annual assessment of Ms. Goldstein and Mr. Emerson’s compensation relative to their respective peer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groups by our independent compensation consultant, the Committee approved an increase to the annual fiscal 2027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for each of Ms. Goldstein and Mr. Emerson from what they were granted in fiscal 2026 to ensure that their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remained competitive with market.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SEC regulations generally require that the grant date fair value of equity awards be disclosed in the Summary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Table for the year in which the equity awards were granted, not the year to which the services relate. As a result, the grant date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for equity grants made in June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are shown in the Summary Compensation Table on </w:t>
      </w:r>
      <w:hyperlink w:anchor="ibb9b9b534a9141a0b2e60a839fa2e57c_3905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bb9b9b534a9141a0b2e60a839fa2e57c_3905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49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and the grant date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for the equity grants made in June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 reflected in the Summary Compensation Table in our Proxy Statement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Other Compensation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401(k)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maintain a 401(k) savings plan and trust for our eligible employees, including our NEOs (other than Messrs. Zelnick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Slatoff). The plan permits each participant to make voluntary pre-tax contributions, post-tax “Roth” contributions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combination of the two. In addition, we make matching contributions equal to 50% of the participant’s eligible elective deferral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(excluding catch-up contributions) contributed to the 401(k) savings plan, but not more than an amount equal to 50% of the first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8% of the participant’s pre-tax and/or Roth contributions will be matched. See the “All Other Compensation” column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Compensation Table for further information regarding these benefits.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Nonqualified Deferred Compensation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 September 1, 2025, we maintain the Take-Two Interactive Software, Inc. Deferred Compensation Plan (the "DCP"),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nonqualified deferred compensation plan. The DCP is available to eligible U.S.-based employees of the Company and 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participating subsidiaries, including our NEOs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(other than Messrs. Zelnick and Slatoff), as well as non-employee members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selected by the Company.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DCP, eligible employee participants may elect to defer up to 50%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and up to 90% of annual cash bonus awards under the applicable annual incentive plan. Eligible non-employee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may elect to defer up to 100% of their board cash retainer and meeting fees paid in cash. The Company does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make matching contributions under the DCP but may, in its sole discretion, make other employer contributions on behalf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selected participants.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Participant deferrals are 100% vested at all times. Any discretionary employer contributions vest in accordance with a schedule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determined by the Company at the time of contribution, subject to automatic full vesting upon death, disability or a change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control. T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 investment options available under the DCP are similar to those available under the Company's 401(k) plan and do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 provide above-market or preferential rates of return.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Participants may change their investment elections on any business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day on which the New York Stock Exchange is open. We have established a revocable grantor trust to fund benefits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DCP; however, trust assets remain subject to the claims of the Company's general creditors in the event of insolvency.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Participants make elections under the DCP with regard to distributions, including a lump sum or annual installments over two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five years upon a specified date, or a lump sum or annual installments over two to ten years upon separation from service (with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payment commencing six months following separation from service). Distributions upon death, disability or a change in control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Company are paid automatically as a lump sum. Distributions triggered by separation from service are subject to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six-month delay.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See “Nonqualified Deferred Compensation for Fiscal 2026” for more details.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Other Benefits and Perquisites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provide health, dental, life and accidental death and dismemberment and short-term and long-term disability insurance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for our NEOs, including Messrs. Zelnick and Slatoff, on the same basis as these benefits are generally provided to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employees. The Company also pays a club membership fee on behalf of Mr. Zelnick, which is used primarily for general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and corporate development purposes, for a parking spot at our New York corporate office, and for personal security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 for Mr. Zelnick. We believe the personal security services are reasonable and necessary business expenses that arise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nature of his employment responsibilities and inure to the benefit of the Company. Other than these items, we do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material perquisites to our NEOs.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spouse or other guest may accompany a NEO on Company-paid private aircraft travel when the aircraft is already scheduled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business purposes and can accommodate additional passengers. Because there is no aggregate incremental cost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in such circumstances, no amounts are reflected in the compensation tables in this Proxy Statement.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does not maintain a formal perquisite policy, although the Compensation Committee periodically reviews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officer perquisites as part of its oversight of executive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Severance and Change in Control Benefits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Severance and Change in Control Benefits for ZMC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Management Agreement, ZMC would receive the following cash payments and benefits upon a termination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without “cause” or by ZMC for “good reason” (whether before or after a change in control) (as such terms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defined in the Management Agreement): (i) the earned but unpaid portion of the management fee, (ii) any accrued but unpaid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bonus for a completed fiscal year, and (iii) three times the sum of the per annum management fee plus the target bonus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amount. In addition, the Management Agreement provides for certain accelerated vesting of outstanding and unvested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awards upon such a termination.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See “Certain Relationships and Related Transactions—Management Agreement” for more details.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cash payments described above remain consistent whether the termination occurs before or after a change in control, so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not entitled to receive any enhanced cash payments in connection with a change in control. With respect to vesting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 awards in connection with a change in control, the Management Agreement provides for “double-trigger” vesting (that is,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they require both a change in control of the Company plus a qualifying termination before payments and benefits are paid).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Accordingly, if a change in control occurs during the term of the Management Agreement, outstanding and unvested equity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will continue to vest (and performance-based RSUs will continue to vest at target levels) in accordance with the original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vesting schedule, subject to earlier vesting upon a termination of the Management Agreement without cause or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 reason.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Severance and Change in Control Benefits for Other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March 2008, the Compensation Committee approved the Take-Two Interactive Software, Inc. Change in Control Employee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Plan (the “CIC Severance Plan”), a change in control plan pursuant to which certain eligible employees, including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NEOs other than Messrs. Zelnick and Slatoff, may receive certain “double-trigger” cash severance benefits upon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of employment either by the Company without “cause” or voluntarily for “good reason” (as such terms are defined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CIC Severance Plan), in either case during the 12-month period following a change in control of the Company, as well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vesting of outstanding and unvested equity awards in connection with a change in control of the Company, as described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Compensation—Potential Payments Upon Termination or Change in Control” below. The employment agreements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Ms. Goldstein and Mr. Emerson provide for severance payments in the event of a separation from service from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under certain conditions, as well as a retention bonus payment to Ms. Goldstein that is payable only if Ms. Goldstein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stays employed in connection with a change in control of the Company. Ms. Goldstein and Mr. Emerson only receive benefits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CIC Severance Plan to the extent such benefits would be greater than the benefits under their employment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agreements. See “Executive Compensation—Narrative Disclosure Regarding Equity Plans and Employment Agreements”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Compensation—Potential Payments Upon Termination or Change in Control” below for more information. We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believe that these severance benefits assist us in recruiting talented individuals to join and remain a part of our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team. From time to time, we may recruit executives from other companies where they have job security, tenure and career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opportunities. Accepting a position with us may entail foregoing an otherwise secure position at another employer,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provided by the CIC Severance Plan help to mitigate the risk of harm that the executive may suffer in connection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adverse actions taken by a successor to the Company. Severance benefits also allow our NEOs to focus on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without being unduly distracted by concerns about their job security in the event of a separation from service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 in control. Our NEOs are not entitled to any gross-up payments to cover excise taxes imposed by the “golden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parachute” regulations under Sections 280G and 4999 of the Internal Revenue Code, as amended (the “Code”).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VI. Operation of the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General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annually reviews compensation policies and procedures of the Company and evaluates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approves the NEOs’ compensation. The Compensation Committee also annually reviews the ZMC relationship. This review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includes annual individual interviews with a broad group of executives, excluding our Executive Chairman and CEO 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President, to seek feedback on the ZMC relationship.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held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meetings during fiscal 2026. The Compensation Committee regularly meets at least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times during the fiscal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Role of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When determining NEO compensation, the Compensation Committee solicits from the Executive Chairman and CEO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evaluation of the performance of, and recommendations with respect to compensation decisions for, each of the NEOs other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himself. In addition, with respect to setting compensation for fiscal 2026, the Compensation Committee interviewed all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NEOs, including the CEO and President, and members of our management team who report to the NEOs in order to better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 each NEO’s performance. The Compensation Committee also interviewed certain of the foregoing individuals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connection with its annual review, in conjunction with the Board of Directors, of ZMC’s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Use of Outside Advisors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Committee has historically engaged independent compensation consultants to assist in evaluating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and director compensation. Consistent with this practice, the Compensation Committee retained FW Cook to review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programs for our NEOs and Board of Directors and to provide advice regarding compensation matters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has sole authority to retain, terminate and determine the terms of engagement with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advisors.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SEC and Nasdaq rules, the Compensation Committee assessed the independence of FW Cook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that the firm is independent and that no conflict of interest exists that would prevent it from serving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advisor to the Compensation Committee. In making this determination, the Compensation Committee, reviewed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FW Cook’s policies and procedures to prevent or mitigate conflicts of interest. The Compensation Committee also reviewed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satisfied that no business or personal relationships or conflicts existed between members of the Compensation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individuals at FW Cook supporting the Compensation Committee.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VII. Compensation Governance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November 27, 2023, our Compensation Committee adopted an updated version of the Take-Two Interactive Software, Inc.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Policy for the Recovery of Erroneously Awarded Compensation, which is our “Clawback Policy,” and which was updated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reflect the Nasdaq listing standards approved in connection with the clawback rule adopted by the SEC in October 2022.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NEOs (including ZMC and its shareholders, partners, employees, members and other affiliates who are deemed “Executives”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Clawback Policy) are subject to the Clawback Policy. Our Clawback Policy is included as an exhibit to our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on Form 10-K for the fiscal year ended March 31, 2024, which is available through our Internet website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at </w:t>
      </w:r>
      <w:r>
        <w:rPr>
          <w:rFonts w:ascii="Arial;sans-serif" w:hAnsi="Arial;sans-serif"/>
          <w:b w:val="false"/>
          <w:i/>
          <w:sz w:val="18"/>
          <w:u w:val="single"/>
        </w:rPr>
        <w:t>www.take2games.com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the SEC’s website at </w:t>
      </w:r>
      <w:r>
        <w:rPr>
          <w:rFonts w:ascii="Arial;sans-serif" w:hAnsi="Arial;sans-serif"/>
          <w:b w:val="false"/>
          <w:i/>
          <w:sz w:val="18"/>
          <w:u w:val="single"/>
        </w:rPr>
        <w:t>www.sec.gov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Clawback Policy requires the repayment of any incentive-based compensation, including without limitation equity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(whether vested or unvested), paid to an executive officer (current or former) in the event we are required to prepare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restatement of our financial results due to material noncompliance with any financial reporting requirements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securities laws, without regard to whether any misconduct occurred or an executive officer’s responsibility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erroneous financial statements. Under our Clawback Policy, incentive-based compensation paid to any executive officer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(current or former) during the three-year period prior to the accounting restatement, that is in excess of what would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paid based on the restated financial information, is subject to clawback.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Executive Officer Stock Ownership Requirements and Holding Requirement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stock ownership requirements for executive officers of the Company as follows:</w:t>
      </w:r>
    </w:p>
    <w:tbl>
      <w:tblPr>
        <w:tblW w:w="62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41"/>
        <w:gridCol w:w="109"/>
        <w:gridCol w:w="3773"/>
        <w:gridCol w:w="109"/>
        <w:gridCol w:w="8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CEO/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PRESIDENT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41245" cy="320040"/>
                  <wp:effectExtent l="0" t="0" r="0" b="0"/>
                  <wp:docPr id="286" name="Image2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0" w:name="i-286"/>
            <w:bookmarkEnd w:id="29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  <w:t>6x Base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  <w:t>Salary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9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736"/>
        <w:gridCol w:w="109"/>
        <w:gridCol w:w="1866"/>
        <w:gridCol w:w="109"/>
        <w:gridCol w:w="8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30300" cy="320040"/>
                  <wp:effectExtent l="0" t="0" r="0" b="0"/>
                  <wp:docPr id="287" name="Image2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2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1" w:name="i-287"/>
            <w:bookmarkEnd w:id="291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  <w:t>3x Base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  <w:t>Salary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2022 Management Agreement and the stock ownership guidelines policy adopted by the Board of Directors both prohibit,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March 31, 2029, ZMC and any Subject Person (as defined in the 2022 Management Agreement, and which includes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of Messrs. Zelnick and Slatoff individually) from selling or otherwise disposing of any shares of common stock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Company, if the Market Value (as defined in the 2022 Management Agreement) of all shares of common stock of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(including any unvested restricted stock and RSUs, but excluding any unvested restricted stock or RSUs that remain subject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vesting) held by ZMC and such Subject Persons would be less than six times the per annum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 (excluding any bonuses).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Other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NEOs (other than the Executive Chairman and CEO and President who are subject to the requirements described above) shall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own shares of common stock having a value equal to three times their annual base salary within five years after the date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adoption of the requirements and future NEOs shall achieve such ownership position within five years after the date of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appointment as NEOs. All shares that are directly owned by the NEO, shares that are beneficially owned by the NEO, such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shares held in “street name” through a broker or shares held in trust, and unvested shares of restricted stock and RSUs (other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than any unvested restricted stock or RSUs that remain subject to performance-based vesting) are counted toward satisfying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 requirements.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policy adopted by the Board of Directors with respect to our stock ownership requirements also include a holding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requirement. Under this requirement, NEOs must retain at least 50% of the total equity credited from grants of equity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(net of amounts required to pay taxes and exercise prices) until compliance with the applicable stock ownership requirement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achieved. All NEOs are in compliance with the applicable stock ownership requirements as of the date of this proxy filing.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Anti-Hedging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Securities Trading Policy that prohibits, among other things, officers, directors, employees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consultants of the Company, as well as the shareholders, partners, employees, members, and other affiliates of ZMC who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services to the Company and are subject to the policy, from engaging in the following transactions: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7810" cy="1342390"/>
            <wp:effectExtent l="0" t="0" r="0" b="0"/>
            <wp:docPr id="288" name="Image2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288" descr="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1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2" w:name="i-288"/>
      <w:bookmarkEnd w:id="292"/>
    </w:p>
    <w:tbl>
      <w:tblPr>
        <w:tblW w:w="48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77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 and Out Trading. (All purchases of the Company’s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securities in the open market must be held for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minimum of six months, with exceptions relating to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exercise of stock options.)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Purchases of Company securities on margin or holding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any Company securities in margin accounts.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1"/>
        <w:gridCol w:w="154"/>
      </w:tblGrid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Pledging Company securities as collateral for a loan.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Short sales of the Company’s securities.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Transactions in puts, calls or other derivatives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Company’s securities, as well as any other derivative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or hedging transactions on Company securities.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Anti-Pledging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matter of good corporate governance, our Board of Directors has adopted a formal policy against pledging common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which members of the Board of Directors and executive officers may not hold common stock in margin accounts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may not pledge common stock as collateral for a loan. None of our directors or executive officers has pledged any shares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common stock.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Impact of Tax and Accounting Rules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 general matter, the Compensation Committee reviews and considers the various tax and accounting implications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vehicles utilized by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respect to accounting considerations, the Compensation Committee examines the accounting cost associated with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in light of requirements under the Accounting Standards Codification (“ASC”) stock compensation guidance,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which generally requires the Company to recognize compensation expense relating to equity awards based upon the grant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fair value of those awards. The Company also considers the accounting impact of preserving flexibility to settle RSUs awards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cash, shares, or a combination of cash and 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taxes, the Compensation Committee may consider the anticipated tax treatment of various payments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to the Company and, when relevant, to its executives. Section 162(m) of the Code generally prohibits any publicly held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corporation from taking a federal income tax deduction for compensation paid in excess of $1 million in any taxable year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NEOs, subject to certain exceptions. However, the Company generally believes that it is in our best interest and that of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have the flexibility to pay compensation that was not deductible under the limitations of Section 162(m)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Code to provide a compensation package consistent with our program and objectives.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Report of the Compensation Committee of the Board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has reviewed and discussed with management the Compensation Discussion and Analysis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contained in this Proxy Statement. Based upon this review and discussion, the Compensation Committee recommended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of Directors of the Company that the Compensation Discussion and Analysis be included in this Proxy Statement.</w:t>
      </w:r>
    </w:p>
    <w:tbl>
      <w:tblPr>
        <w:tblW w:w="51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3916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July __, 2026</w:t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Submitted by the Compensation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 the Board of Directors: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Michael Sheresky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Michael Dornemann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Roland Hernandez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Risk Assessment of Overall Compensation Program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regularly reviews senior executive compensation and Company-wide compensation programs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policies to identify and mitigate potential risks and to ensure that our compensation arrangements are not reasonably likely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have a material adverse effect on the 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designing our compensation programs, the Compensation Committee seeks to balance the achievement of financial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strategic objectives with prudent risk management. Our compensation structure includes a mix of short-term and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incentives that encourage employees to focus on both near-term performance and longer-term value creation.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incentives, including equity awards that vest over time and, in some cases, include a market-based performance metric,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encourage employees to remain focused on sustained stock price appreciation. The Company also maintains individual bonus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caps for senior executives further mitigating risk.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 risk-mitigating features include our Clawback Policy, which requires the reimbursement of bonus or incentive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and/or the cancellation of outstanding equity previously granted in certain cases, and stock ownership guidelines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require executive officers to hold a significant amount of our common stock or equivalents. We also prohibit transactions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designed to limit or eliminate economic risks to our employees of owning our common stock, such as options, puts, and calls,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 our executives cannot insulate themselves from the effects of poor stock price performance.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Senior executives from our risk, compliance, administrative, and finance functions, as well as the Compensation Committee’s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compensation consultant, are involved in this annual review process. Based on this review, the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concluded that the Company’s compensation programs for fiscal 2026, were not reasonably likely to have a 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adverse effect on the Company.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summary information for the fiscal years ended March 31, 2026, March 31, 2025,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 2024, with respect to cash and all other compensation paid by the Company to, or earned by, the Company’s NEOs.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Summary Compensation Table</w:t>
      </w:r>
      <w:bookmarkStart w:id="293" w:name="ibb9b9b534a9141a0b2e60a839fa2e57c_3905"/>
      <w:bookmarkEnd w:id="293"/>
    </w:p>
    <w:tbl>
      <w:tblPr>
        <w:tblW w:w="84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1"/>
        <w:gridCol w:w="571"/>
        <w:gridCol w:w="826"/>
        <w:gridCol w:w="1201"/>
        <w:gridCol w:w="1276"/>
        <w:gridCol w:w="1276"/>
        <w:gridCol w:w="961"/>
      </w:tblGrid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Principal Position</w:t>
            </w:r>
          </w:p>
        </w:tc>
        <w:tc>
          <w:tcPr>
            <w:tcW w:w="5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Year</w:t>
            </w:r>
          </w:p>
        </w:tc>
        <w:tc>
          <w:tcPr>
            <w:tcW w:w="8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Salary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Non-Equity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Incentive Plan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Executive Chairman and Chief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Executive Officer</w:t>
            </w:r>
          </w:p>
        </w:tc>
        <w:tc>
          <w:tcPr>
            <w:tcW w:w="5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403,018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106,456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Lainie Goldstein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Chief Financial Officer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7,285,615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3,000,000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13,915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11,299,530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8,839,424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1,495,500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13,800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11,348,724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8,219,600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952,800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14,081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10,186,481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President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Daniel Emerson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Executive Vice President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Chief Legal Officer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4,999,874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2,125,000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7,988,874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6,066,139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1,059,313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56,122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8,031,574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5,640,876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674,900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13,200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7,178,976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grant date fair value of stock awards granted to our NEOs in each of the reporting periods, determined under ASC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Topic 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 For additional information with respect to stock awards granted during fiscal 2026, see Note 16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heading “Stock-Based Compensation” of the Notes to Consolidated Financial Statements included in the Company’s Annual Report on Form 10-K for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2026. The amounts above reflect the grant date fair value for these awards and do not necessarily correspond to the actual value that might be realized by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NEOs, which depends on the market value of the Company’s common stock on a date in the future when the stock award vests. For time-based RSUs,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value is based on the fair market value of the Company’s common stock on the grant date and is determined by multiplying the number of shares subject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 by the closing price per share of the Company’s common stock. The value of the performance-based RSUs reflects the value of the awards at the grant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date based upon the probable outcome of the performance conditions using the Monte Carlo simulation model and is consistent with our estimate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aggregate compensation cost to be recognized over the vesting period determined in accordance with ASC Topic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which is less than the maximum possible value.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following 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shows the value of the NEOs’ respective performance-based awards on the date of grant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both the probable outcome of the performance conditions, which is reflected in the table above, as well as the maximum achievement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 conditions.</w:t>
      </w:r>
    </w:p>
    <w:tbl>
      <w:tblPr>
        <w:tblW w:w="37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841"/>
        <w:gridCol w:w="721"/>
        <w:gridCol w:w="97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Name</w:t>
            </w:r>
          </w:p>
        </w:tc>
        <w:tc>
          <w:tcPr>
            <w:tcW w:w="8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7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Probable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Outcome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171" w:type="dxa"/>
            <w:vMerge w:val="restart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Lainie Goldstein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7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5,238,912</w:t>
            </w:r>
          </w:p>
        </w:tc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8,186,358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6,627,899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13,255,798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6,033,708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12,067,417</w:t>
            </w:r>
          </w:p>
        </w:tc>
      </w:tr>
      <w:tr>
        <w:trPr/>
        <w:tc>
          <w:tcPr>
            <w:tcW w:w="11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Daniel Emerson</w:t>
            </w:r>
          </w:p>
        </w:tc>
        <w:tc>
          <w:tcPr>
            <w:tcW w:w="841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721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3,595,354</w:t>
            </w:r>
          </w:p>
        </w:tc>
        <w:tc>
          <w:tcPr>
            <w:tcW w:w="976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5,618,080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4,548,492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9,096,984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4,140,732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8,281,464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(2)These amounts represent annual cash incentive payments. For more information, refer to “Compensation Discussion and Analysis—Annual Cash Incentive”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above and the “Grants of Plan-Based Awards” table below.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amounts set forth in this column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represent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(i) the Company’s matching contributions to the Company’s 401(k) plan for Ms. Goldstein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Emerson, (ii) a club membership fee paid by the Company on behalf of Mr. Zelnick, used primarily for general corporate and corporate development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purposes, (iii) a parking spot for Mr. Zelnick at the Company’s offices located at 110 West 44th Street, New York, New York 10036 paid for by the Company,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fees for personal security services for Mr. Zelnick in an amount equal to $392,899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paid for by the Company, based on our security assessment for the fiscal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year. The incremental cost to the Company associated with the home security measures is determined based upon the amount paid by the Company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applicable outside security provider.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(4)As discussed in more detail below, Messrs. Zelnick and Slatoff were compensated for their respective services to the Company during fiscal years 2026,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2024 pursuant to the 2022 Management Agreement. The provisions of the 2022 Management Agreement establish the payments and benefits to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is entitled as consideration for providing the services set forth therein. In general, in connection with their provision of services to the Company, the actual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amount of compensation received by Messrs. Zelnick and Slatoff is determined in the sole discretion of ZMC and without the Company’s knowledge, except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that, under the terms of the 2022 Management Agreement, Mr. Zelnick may not receive more than 60% of the payments and benefits made to ZMC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Slatoff may not receive more than 40% of the payments and benefits made to ZMC.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GRANTS OF PLAN-BASED AWARDS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Grants of Plan-Based Awards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concerning awards under the Company’s equity and non-equity incentive plans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granted to each of the NEOs 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including performance-based awards and those using time-based vesting.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Assumptions used in the calculation of certain dollar amounts are included in Note 16 to the Company’s audited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financial statements included in the Company’s Annual Report on Form 10-K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736"/>
        <w:gridCol w:w="826"/>
        <w:gridCol w:w="841"/>
        <w:gridCol w:w="826"/>
        <w:gridCol w:w="826"/>
        <w:gridCol w:w="109"/>
        <w:gridCol w:w="841"/>
        <w:gridCol w:w="601"/>
        <w:gridCol w:w="811"/>
        <w:gridCol w:w="856"/>
        <w:gridCol w:w="871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3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Estimated Future Payouts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Under Non-Equity Incentive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Plan 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3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Estimated Future Payouts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Under Equity Incentive Plan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8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Shares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 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Units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871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 Fair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Name</w:t>
            </w:r>
          </w:p>
        </w:tc>
        <w:tc>
          <w:tcPr>
            <w:tcW w:w="7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</w:t>
            </w:r>
          </w:p>
        </w:tc>
        <w:tc>
          <w:tcPr>
            <w:tcW w:w="8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Approval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60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8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8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1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</w:p>
        </w:tc>
        <w:tc>
          <w:tcPr>
            <w:tcW w:w="7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Lainie Goldstein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18,089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36,178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5,238,912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9,045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2,046,703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1,500,000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3,000,000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Daniel Emerson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12,414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24,828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3,595,354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6,207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1,404,520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1,062,500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2,125,000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cash performance bonus opportunities ranging from 0% to 300% of base salary for Ms. Goldstein and from 0% to 250% of base salary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Emerson. There is no set minimum payout amount. See “Compensation Discussion and Analysis—Annual Cash Incentive.”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Ms. Goldstein and Mr. Emerson, 66.7% of the RSUs vest 100% on the third anniversary of the grant date, subject to the satisfaction of certain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criteria based on (i) the Company’s TSR performance measured against the Nasdaq 100 Index, with respect to 75% of such RSUs, and (ii)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RCS performance, with respect to 25% of such RSUs, in each case over a period of approximately three (3) years. The remaining 33.3% of the RSUs vest 25%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June 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thereafter in 12 equal quarterly installments commencing on September 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on the NEO’s continued service with the Company.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There is no set minimum payout amount.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the maximum shares of performance-based RSUs. Such RSUs will vest, if at all, 100% on June 1, 2028.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(4)These amounts are valued based on the aggregate grant date fair market value of the award. For additional information with respect to stock awards granted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during fiscal 2026, see Note 16 under the heading “Stock-Based Compensation” of the Notes to Consolidated Financial Statements included in the Company’s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Annual Report on Form 10-K for fiscal 2026. The grant date fair value of equity incentive plan awards that are subject to performance-based vesting conditions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 based upon the probable outcome of such conditions. All amounts reflect the grant date fair value for these awards, excluding the accounting effect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estimate of future service-based forfeitures, and do not necessarily correspond to the actual value that might be realized by the NEOs.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(5)Messrs. Zelnick and Slatoff have not received cash performance bonuses or grants of restricted stock, RSUs or option awards. Messrs. Zelnick and Slatoff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partners in ZMC, to which the Company has paid cash performance bonuses and has previously granted restricted stock, RSUs and options pursuant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Management Agreement. At target, 67% of equity awards to ZMC for our CEO and President are conditioned on the achievement of relative TSR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RCS goals measured over a three-year performance period. At maximum, 80% of their equity awards are similarly linked to performance. For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regarding the grants and cash performance bonuses made to ZMC, see “Certain Relationships and Related Transactions—Management Agreement.”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Narrative Disclosure Regarding Equity Plans and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2017 Stock Incentive Plan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2017 Plan was originally approved by shareholders on September 15, 2017. The Plan permits the Company to grant stock-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incentive compensation awards to eligible employees (including officers), non-employee directors and consultants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of stock options, stock appreciation rights, restricted stock, restricted stock units and other stock-based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2017 Plan initially authorized 7,603,745 shares of common stock for issuance, subject to certain recycling and adjustment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provisions. In addition, shares subject to awards assumed or substituted in connection with corporate transactions and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settled solely in cash generally do not count against the share Plan reserve. Since its adoption, the 2017 Plan has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amended periodically with shareholder approval, including increases to the share reserve in 2020, 2021, 2023 and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NARRATIVE DISCLOSURE REGARDING EQUITY PLANS AND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2017 Global Employee Stock Purchase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Take-Two Interactive Software, Inc. Second Amended and Restated 2017 Global Employee Stock Purchase Plan (the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2017 Global ESPP”) was approved by shareholders on September 15, 2017 and became effective on May 1, 2018.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Global ESPP provides eligible employees of the Company and certain designated subsidiaries and affiliates with an opportunity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acquire an ownership interest in the Company through the purchase of common stock. The Plan includes sub-plans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 outside the United States to accommodate local legal, tax and regulatory requirements. Subject to adjustment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changes in recapitalization or reorganization, up to 9,000,000 shares of common stock may be issued under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Global ESPP.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Employment Agreements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Lainie Goldstein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 Goldstein serves as Chief Financial Officer pursuant to an employment agreement with the Company, originally entered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into on May 12, 2010, and subsequently amended.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employment agreement, Ms. Goldstein will continue to serve as Chief Financial Officer of the Company until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 31, 2027, and thereafter for successive one-year periods until either party elects not to renew the term of the 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May 17, 2018, the Company entered into a third amendment to its employment agreement with Ms. Goldstein to extend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term of the agreement through March 31, 2023. In connection with this amendment, effective as of April 1, 2018,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Goldstein’s base salary was increased to $850,000 with no automatic, annual cost of living increases, but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increase from time to time, as determined by the Company. Such third amendment also provides that Ms. Goldstein will also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eligible to receive an annual bonus during each fiscal year of her employment at target in the amount of 100% of her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salary, based on the achievement of certain financial targets by the Company, as set forth in the employment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Ms. Goldstein is eligible to participate in the Company’s long-term incentive compensation program. Based, in part,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peer benchmarking, as well as Ms. Goldstein’s strong individual performance and value to the organization as a key senior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leader, on May 24, 2022, the Compensation Committee approved, for fiscal 2023, effective April 1, 2022, an increase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Goldstein’s (i) base salary to $1,000,000 and (ii) target annual bonus to 150% of her base salary. Ms. Goldstein’s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salary and target annual bonus remained the same for fiscal 2024, fiscal 2025 and fiscal 2026,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remains the same for fiscal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employment agreement also provides for certain severance benefits upon termination by the Company without cause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connection with a change in control. For more information regarding these severance and change in control benefits, please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“Potential Payments Upon Termination or Change in Control” below.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has agreed not to compete with the Company or solicit any of the Company’s customers or personnel during 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and for one year following any termination of her employment, all on the terms set forth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 agreement.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Karl Slatoff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February 14, 2008, the Company entered into an employment agreement with Mr. Slatoff, pursuant to which Mr. Slatoff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initially served as Executive Vice President. Effective October 25, 2010, Mr. Slatoff was named to the role of Chief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Officer. Effective May 1, 2013, Mr. Slatoff was appointed to the newly created role of President. Pursuant to the agreement,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Slatoff will continue to serve as President until termination of the 2022 Management Agreement, unless earlier terminated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his death or resignation, or by the Board of Directors for any reason. Pursuant to the terms of the employment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Slatoff receives an annual salary of $1.00. Additionally, Mr. Slatoff is eligible to participate in all benefits and plans which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may institute from time to time for its executive officers and employees (other than the 401(k) savings plan).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agreement with Mr. Slatoff provides that he is not entitled to receive an annual bonus from the Company.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agreement does not provide for any continued obligations of the Company following a termination of Mr. Slatoff’s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other than continued indemnification rights and coverage under the Company’s directors’ and officers’ liability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 policies.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Slatoff has agreed not to compete with the Company, nor to solicit any of the Company’s customers or personnel during his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and for one year following his termination for “cause” or without “good reason,” all on the terms set forth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agreement.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OUTSTANDING EQUITY AWARDS AT FISCAL YEAR-END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Daniel Emerson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Emerson serves as Executive Vice President and Chief Legal Officer pursuant to an employment agreement between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and Mr. Emerson, dated January 28, 2015, effective as of October 24, 2014. Pursuant to the employment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Emerson will continue to serve in this capacity until his employment is terminated by him or the Company in accordance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the provisions of the employment 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terms of the employment agreement, Mr. Emerson received an annual base salary of $850,000 for fiscal 2026,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based, in part, on peer benchmarking, as well as Mr. Emerson’s strong individual performance and value to the organization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key senior leader. In fiscal 2026, Mr. Emerson was also eligible to receive an annual bonus at target in the amount of 125%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his base salary, based on the achievement of certain financial targets by the Company. Additionally, Mr. Emerson is eligible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participate in the Company’s long-term incentive compensation program. Mr. Emerson’s base salary and target annual bonus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remains the same for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employment agreement also provides for certain severance benefits upon termination by the Company without cause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connection with a change in control. For more information regarding these severance and change in control benefits, please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“Potential Payments Upon Termination or Change in Control” below.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Emerson has agreed not to solicit any of the Company’s customers or personnel during his employment and for one year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any termination of his employment, all on the terms set forth in the employment agreement.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Outstanding Equity Awards at Fiscal Year-End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information concerning RSUs outstanding for each of the NEOs as of March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79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1111"/>
        <w:gridCol w:w="961"/>
        <w:gridCol w:w="1231"/>
        <w:gridCol w:w="1456"/>
        <w:gridCol w:w="1711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0" w:type="dxa"/>
            <w:gridSpan w:val="5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1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 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Grant Date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or Units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Have 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23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Market Value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Units of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Not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4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Unearned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or Units of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That Have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  <w:tc>
          <w:tcPr>
            <w:tcW w:w="17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Market Value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Unearned 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Units of Stock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Have 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 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9,045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1,786,388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36,178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7,145,155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6/1/2024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7,758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1,532,205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55,244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10,910,690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4,965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980,588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63,640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12,568,900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1,041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205,598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6,207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1,225,883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24,828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4,903,530</w:t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6/1/2024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5,325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1,051,688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37,912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7,487,620</w:t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3,410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673,475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43,674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8,625,615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715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141,213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(1)Time-based awards and performance-based awards with respect to which the performance criteria have been satisfied, made under the 2017 Plan. The time-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awards vest, subject to continuing employment, 25% on the anniversary of the grant date and thereafter in 12 equal quarterly installments commencing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September 1st. The performance-based awards will vest, if at all, 100% on the third anniversary of the grant date.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(2)Value determined based on the closing price of the Company’s common stock of $197.50 on March 31, 2026, the final business day of fiscal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(3)Messrs. Zelnick and Slatoff have not received grants of stock or option awards. Messrs. Zelnick and Slatoff are partners in ZMC, to which the Company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previously granted restricted stock, RSUs and options pursuant to the ZMC management agreements. Of these grants, no options or shares of restricted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remained outstanding and an aggregate of 726,835 time-based and performance-based RSUs (based on the target number of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eligible to vest) or 1,279,802 time-based and performance-based RSUs (based on the maximum number of performance-based RSUs eligible to vest)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remained unvested as of March 31, 2026. The value of the unvested RSUs based on the closing price of the common stock on March 31, 2026,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$143,549,913 (based on the target number of performance-based RSUs eligible to vest) or $252,760,895 (based on the maximum number of performance-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RSUs eligible to vest).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Stock Vested During Fiscal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information concerning the vesting of RSUs held by each of the NEOs during fiscal 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realized from vested RSUs is deemed to be the market value of the common stock on the date of vesting, based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closing price on such date, multiplied by the number of shares.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1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1411"/>
        <w:gridCol w:w="1306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7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Acquired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on Vesting (#)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on Vesting ($)</w:t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80,869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$18,343,201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55,496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$12,587,915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discussed above, Messrs. Zelnick and Slatoff have not received grants of restricted stock, RSUs or option awards, but are partners in ZMC, which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received certain grants. The Company’s RCS achievement for the awards that vested in fiscal 2026 was in excess of the maximum goal, which resulted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maximum vesting percentage for the RSUs (i.e. 200% of target) based on achievement of RCS performance-vesting criteria, and no shares being forfeited.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relative TSR achievement for the awards that vested in fiscal 2026 was the 78th percentile, which resulted in the maximum vesting percentage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RSUs (i.e. 200% of target) based on achievement of TSR performance-vesting criteria, and no shares being forfeited. For information related to shares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vested or failed to vest see “Certain Relationships and Related Transactions—Management Agreement” and “Pay versus Performance”.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(2)Represents (i) a total of 4,164 time-based RSUs originally granted on June 1, 2022 which vested in four quarterly installments on each of June 1, 2025,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September 1, 2025, December 1, 2025, and March 1, 2026, (ii) a total of 3,972 time-based RSUs originally granted on June 1, 2023 which vested in four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quarterly installments on each of June 1, 2025, September 1, 2025, December 1, 2025, and March 1, 2026, (iii) a total of 6,033 time-based RSUs originally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on June 1, 2024 which vested in four quarterly installments on each of June 1, 2025, September 1, 2025, December 1, 2025, and March 1, 2026,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66,700 performance-based RSUs originally granted on June 1, 2022, which vested on June 1,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 The performance-based RSUs that vested on June 1, 2025 included only relative TSR performance-based vesting, and the Company’s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TSR achievement for the awards that vested in fiscal 2026 was the 78th percentile, which resulted in the maximum vesting percentage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RSUs, (i.e. 200% of target),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(i) a total of 2,858 time-based RSUs originally granted on June 1, 2022 which vested in four quarterly installments on each of June 1, 2025,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September 1, 2025, December 1, 2025, and March 1, 2026, (ii) a total of 2,725 time-based RSUs originally granted on June 1, 2023 which vested in four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quarterly installments on each of June 1, 2025, September 1, 2025, December 1, 2025, and March 1, 2026, (iii) a total of 4,139 time-based RSUs originally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on June 1, 2024 which vested in four quarterly installments on each of June 1, 2025, September 1, 2025, December 1, 2025, and March 1, 2026,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45,774 performance-based RSUs originally granted on June 1, 2022, which vested on June 1,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 The performance-based RSUs that vested on June 1, 2025 included only relative TSR performance-based vesting, and the Company’s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TSR achievement for the awards that vested in fiscal 2026 was the 78th percentile, which resulted in the maximum vesting percentage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RSUs, (i.e. 200% of target), and no shares being forfeited.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Pension Benefits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do not currently sponsor or maintain any defined benefit pension or retirement plans providing specified retirement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payments and benefits for our NEOs.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Nonqualified Deferred Compensation for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regarding deferrals, earnings, and balances under the DCP for each of our NEOs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March 31, 2026:</w:t>
      </w:r>
    </w:p>
    <w:tbl>
      <w:tblPr>
        <w:tblW w:w="81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26"/>
        <w:gridCol w:w="1411"/>
        <w:gridCol w:w="1411"/>
        <w:gridCol w:w="1396"/>
        <w:gridCol w:w="1141"/>
        <w:gridCol w:w="1366"/>
      </w:tblGrid>
      <w:tr>
        <w:trPr/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Executive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Contributions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Last 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Registrant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Contributions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Last 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3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Earnings in Last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1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Withdrawals/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Distributions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3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Balance at Last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 End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4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1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</w:tr>
      <w:tr>
        <w:trPr/>
        <w:tc>
          <w:tcPr>
            <w:tcW w:w="14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4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425,000</w:t>
            </w:r>
          </w:p>
        </w:tc>
        <w:tc>
          <w:tcPr>
            <w:tcW w:w="14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1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425,000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amount of the annual cash bonus deferred by Mr. Emerson under the DCP. These amounts are related to compensation earned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NEOs in fiscal 2026, and are therefore also reported in the appropriate column in the Summary Compensation Table above. Ms. Goldstein did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participate in the DCP in fiscal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 did not make any discretionary employer contributions under the DCP and no amounts are reported in the Summary Compensation Table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2026.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aggregate balance reported in this column for Mr. Emerson reflects the deferral of a portion of his fiscal 2026 annual cash bonus, all of which is reported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for fiscal 2026 in the Summary Compensation Table above. The amounts reported in this column do not represent above-market earnings,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thus are not reported in the Summary Compensation Table. For the avoidance of doubt, and notwithstanding the above, the amounts reported in this column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were accredited to Mr. Emerson’s account as of June 12, 2026.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material terms of the DCP are included in our Compensation Discussion and Analysis above.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and Mr. Emerson are entitled to receive certain amounts and benefits upon termination of their employment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 in control pursuant to their employment agreements. Additionally, Ms. Goldstein and Mr. Emerson are eligible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participate in the CIC Severance Plan, to the extent they would be entitled to receive greater amounts and benefits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CIC Severance Plan than under their employment agreements. Additionally, commencing in fiscal 2025, equity grants made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and Mr. Emerson (but not to ZMC) included certain special retirement vesting terms. Messrs. Zelnick and Slatoff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not entitled to directly receive any severance benefits from the Company upon a termination of employment or change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control. See “Certain Relationships and Related Transactions—Management Agreement” for details regarding certain payments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benefits that ZMC is entitled to receive upon certain qualifying terminations.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Employment Agreements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Lainie Goldstein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terms of Ms. Goldstein’s employment agreement, she will be entitled to receive the following severance benefits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by the Company without cause (including a non-renewal of the agreement as well as her resignation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certain events that will be deemed a termination without cause): (i) (w) a continuation of Ms. Goldstein’s then-current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for 24 months, (x) 2 times her target bonus, (y) a prorated target bonus for the year of termination (equal to 50%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target if such termination occurs during the first half of the year, and 100% of target if such termination occurs during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second half of the year), and (z) any unpaid bonuses earned in respect of the prior full fiscal year, (ii) reimbursement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cost of continued health insurance coverage under COBRA or its equivalent for 24 months, which amount may include a tax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gross up for any cash payment made to Ms. Goldstein in connection with such continuation coverage should such coverage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end prior to expiration of the 24 month period; and (iii) immediate vesting of all restricted equity previously granted to her.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 has agreed not to compete with the Company or solicit any of the Company’s customers or personnel during 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and for one year following any termination of her employment, all on the terms set forth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 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employment agreement also provides that Ms. Goldstein will be eligible to earn a change in control retention bonus. This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retention bonus reflects Ms. Goldstein’s retention during a transition being critical to the Company. Ms. Goldstein is the only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at the Company who has a retention bonus. A portion of such bonus, equal to three months’ base salary, will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payable upon the closing of a change in control, and a portion of the bonus, equal to three months’ base salary, will be payable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six month anniversary of such change in control, provided that Ms. Goldstein has continued to be employed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following such change in control through the applicable payment date (or if Ms. Goldstein undergoes an involuntary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of employment prior to the applicable payment date, including a termination by the Company without cause, a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renewal of the employment agreement by the Company, or a resignation following the occurrence of certain events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circumstances that will be deemed tantamount to a termination without cause). The employment agreement also provides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amounts received by her in connection with a change in control will be reduced if, pursuant to the excise tax provisions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Code relating to “parachute payments,” such reduction would result in a greater after-tax benefit to her.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Daniel Emerson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terms of Mr. Emerson’s employment agreement, he will be entitled to receive the following severance benefits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a termination by the Company without cause (including his resignation following certain events that will be deemed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without cause): (i) for a period of 12 months following such termination of employment, continuation of his base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salary and continued participation in Company welfare benefit plans (including, without limitation, any medical benefits in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 participates) on the same terms and conditions as in effect at the time of the event triggering his entitlement to severance;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(ii) immediate vesting of all restricted equity previously granted to him; and (iii) subject to the effective date of Mr. Emerson’s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termination, payment of the following lump sum amounts: (x) any accrued but unpaid bonuses earned in respect of prior years;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(y) if the termination is effective during the first half of the year, a lump sum payment equivalent to the sum of (1) the accrued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but unpaid bonus for the prior fiscal year and (2) 50% of the target bonus for which Mr. Emerson would otherwise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in the current fiscal year; or (z) if such termination occurs during the second half of the year, a lump sum payment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equivalent to the sum of (1) the accrued but unpaid bonus for the prior fiscal year and (2) the target bonus for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 would otherwise have been eligible in the current fiscal year. Mr. Emerson has agreed not to solicit any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customers or personnel during his employment and for one year following any termination of his employment, all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terms set forth in the employment agreement.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CIC Severance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CIC Severance Plan, certain eligible employees, including Ms. Goldstein and Mr. Emerson may receive certain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benefits upon a termination of employment either by the Company without “cause” or voluntarily for “good reason,” in either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case during the 12-month period following a change in control of the Company. The benefits that Ms. Goldstein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Emerson would be entitled to receive upon a qualifying termination of employment under the CIC Severance Plan consist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 following: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cash severance payment equal to 150% of the sum of the NEO’s annual base salary and target annual bonus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 opportunity;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continued health benefits for a period of 18 months;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full and immediate vesting of all outstanding and unvested equity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purposes of the CIC Severance Plan, Ms. Goldstein and Mr. Emerson will be deemed to have resigned for “good reason” if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resignation occurs or occurred, as applicable, in connection with any of the events specified in the employment agreements,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that the resignation would be or would have been, as applicable, tantamount to a termination without cause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terms of the employment agreements. For purposes of the CIC Severance Plan, “cause” generally means a participant’s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continued failure to substantially perform the participant’s duties after receipt of notice from the Company, a participant’s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criminal conviction which is demonstrably injurious to the Company, a participant’s felony conviction, a participant’s gross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negligence which affects the Company or a participant’s failure to adhere to the Company’s written policies or to cooperate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any investigation or inquiry involving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benefits provided under the CIC Severance Plan are subject to reduction to avoid any excise tax on “parachute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payments” under Section 280G of the Code if the employee would benefit from such reduction as opposed to receiving the full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benefits and paying the excise tax. All employees who accept severance payments and, if applicable, the continued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health coverage under the CIC Severance Plan are required to sign a release and are subject to restrictions on the solicitation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employees and customers of the Company for a period of six months following termination as well as a non-disparagement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obligation. In addition, all employees who accept any benefits under the CIC Severance Plan are subject to a duty to cooperate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reasonably with the Company in any litigation relating to matters in which the employee was personally involved. We do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for any tax gross-ups in respect of any excise taxes on parachute payments.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Equity Awards Retirement Provision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Since fiscal 2025, we have included a retirement provision into our annual equity award agreements for all our employees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(including our non-ZMC NEOs) to recognize eligible employees’ long-term contributions and impact to our Company if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employee retires. The equity awards granted to Ms. Goldstein and Mr. Emerson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such retirement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provisions, whereby, in the case of a retirement, time-vested RSUs will immediately vest in full upon such retirement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performance-vested RSUs will remain eligible to vest on the original vesting date applicable thereto based on actual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performance, with settlement to occur within 60 days of vesting, if applicable. These provisions were updated from fiscal year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where time-vested RSUs vested according to their original schedule and only a pro-rated amount of performance-vested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RSUs were eligible to vest, to better reflect market standards.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purposes of the awards, “retirement” means a person’s termination at or after attaining (x) age 55, with at least 10 years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service, or (y) age 60, with at least 5 years of service, and provided that such person satisfies certain advance notice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retirement requirements as set forth in the grant agreements.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CEO PAY RATIO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Potential Payments Upon Termination or Change of Control Table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tables below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 forth amounts to be paid or benefits received by those NEOs entitled to receive any amounts or benefits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a qualifying termination of their employment or in connection with a change in control, assuming the applicable triggering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event occurred on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their employment agreements and the CIC Severance Plan (to the extent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under the CIC Severance Plan would be greater than the benefits under the employment agreements).</w:t>
      </w:r>
    </w:p>
    <w:tbl>
      <w:tblPr>
        <w:tblW w:w="75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1066"/>
        <w:gridCol w:w="916"/>
        <w:gridCol w:w="1741"/>
        <w:gridCol w:w="226"/>
        <w:gridCol w:w="102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Lainie Goldstein</w:t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Death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Disability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 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 or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Good Reason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Retirement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(5)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Salary Payment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2,000,000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2,000,000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Continuation of Medical Insurance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20,805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20,805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Acceleration of Equity Awards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10,206,998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 Payment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4,500,000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1,500,000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4,500,000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Stay Bonus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500,000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Termination Benefits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29,857,247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24,836,442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30,357,247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10,206,998</w:t>
            </w:r>
          </w:p>
        </w:tc>
      </w:tr>
    </w:tbl>
    <w:tbl>
      <w:tblPr>
        <w:tblW w:w="74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31"/>
        <w:gridCol w:w="1066"/>
        <w:gridCol w:w="916"/>
        <w:gridCol w:w="1741"/>
        <w:gridCol w:w="226"/>
        <w:gridCol w:w="1021"/>
      </w:tblGrid>
      <w:tr>
        <w:trPr/>
        <w:tc>
          <w:tcPr>
            <w:tcW w:w="2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Daniel Emerson</w:t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Death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Disability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 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 or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Good Reason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Retirement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(5)</w:t>
            </w:r>
          </w:p>
        </w:tc>
      </w:tr>
      <w:tr>
        <w:trPr/>
        <w:tc>
          <w:tcPr>
            <w:tcW w:w="24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Salary Payment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1,275,000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Continuation of Welfare Benefits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37,979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56,968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Acceleration of Equity Awards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 Payment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1,062,500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1,593,750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Termination Benefits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17,966,291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18,941,530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(1)Under Ms. Goldstein’s and Mr. Emerson’s employment agreements, a termination without cause includes a resignation following certain events so as to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deemed a termination by the Company without cause and for Ms. Goldstein, the Company’s non-renewal of the employment agreement. For purposes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Ms. Goldstein’s and Mr. Emerson’s employment agreements, “cause” generally means such person’s continued failure to substantially perform duties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 after receipt of notice from the Company, such person’s criminal conviction which is demonstrably injurious to the Company,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person’s felony conviction, such person’s gross negligence which significantly affects the Company or such person’s material failure to adhere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material written policies or to cooperate in any investigation or inquiry involving the Company. For purposes of Ms. Goldstein’s and Mr. Emerson’s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agreements, Ms. Goldstein’s or Mr. Emerson’s resignation in connection with the following events will be tantamount to a termination without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cause: a material breach of the employment agreement by the Company, a material diminution in such person’s title, status, position or responsibilities,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failure to timely pay compensation due under the employment agreement, a material reduction in such person’s salary or any reduction in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bonus, assignment of duties to such person which are materially inconsistent with the duties set forth in the employment agreement, relocation of such person’s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principal place of employment beyond 10 miles from its then-current location or the failure of any successor to assume the Company’s obligations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value of the equity awards is calculated by multiplying the number of shares of restricted stock and RSUs that accelerate by the per share closing price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Company’s common stock of $197.50 on March 31,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(3)Ms. Goldstein’s employment agreement provides that Ms. Goldstein will be eligible to earn a change in control retention bonus. This change in control retention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 reflects Ms. Goldstein’s retention during a transition being critical to the Company. Ms. Goldstein is the only individual at the Company who has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retention bonus. A portion of such bonus, equal to three months’ base salary, will be payable upon the closing of a change in control, and a portion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bonus, equal to three months’ base salary, will be payable on the six month anniversary of such change in control, provided that Ms. Goldstein has continued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 employed by the Company following such change in control through the applicable payment date (or if Ms. Goldstein undergoes an involuntary termination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employment prior to the applicable payment date, including a termination by the Company without cause, a non-renewal of the employment agreement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Company, or a resignation following the occurrence of certain events or circumstances that will be deemed tantamount to a termination without cause).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(4)In the event that the total amounts payable in connection with a change in control to Ms. Goldstein or Mr. Emerson would trigger an excise tax on “parachute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payments” under Section 280G of the Code, then the total amounts payable in the scenarios illustrated in this table would be reduced in order to avoid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triggering the excise tax if they would benefit from such reduction as opposed to paying the excise tax.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(5)Reflects the value of accelerated vesting of the fiscal 2025 and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equity awards for Ms. Goldstein, who, as of March 31, 2025, met the age and service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requirements for retirement, assuming full vesting of time-vest RSUs, pro-rated vesting of performance-vest RSUs (assuming target levels of achievement)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in fiscal year 2025, and full vesting of time-based and performance-based RSUs granted in fiscal year 2026 (assuming target levels of achievement).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 Emerson did not meet the age requirement for retirement as of March 31, 2026.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CEO PAY RATIO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CEO Pay Ratio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SEC rules, we are required to provide information regarding the relationship between the annual total compensation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Strauss Zelnick, the Company’s Chairman and Chief Executive Officer, and the annual total compensation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Company’s median employee (excluding Mr. Zelnick)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With respect to the annual total compensation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Zelnick, we used both the amount reported in the Summary Compensation Table, as required by Item 402(u) or Regulation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S-K, and, because such amount does not reflect the amount Mr. Zelnick receives from our payments to ZMC, the maximum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amount Mr. Zelnick was eligible to receive from ZMC in connection with the fees paid by us to ZMC under the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Agreement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We believe this provides a better understanding than the ratio based solely on the amount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Zelnick’s compensation reported in the “Total” column in the “Summary Compensation Table” included in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Proxy Statement.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Zelnick’s annual total compensation, as reported in the “Summary Compensation Table” included in this Proxy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Statement, was $403,019.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total compensation paid to ZMC in fiscal 2026, as set forth in the “Compensation Discussion and Analysis-Detailed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Analysis-Compensation to Executive Chairman and CEO and President-Fiscal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ZMC” section of this Proxy Statement on </w:t>
      </w:r>
      <w:hyperlink w:anchor="i21cf2fc2895a47f78318da1546e84bda_1111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21cf2fc2895a47f78318da1546e84bda_1111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37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was $66,818,000, and the maximum portion that Mr. Zelnick could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received was $40,090,800. When combined with the compensation received by Mr. Zelnick from the Company as reported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“Summary Compensation Table” included in this Proxy Statement, the total maximum amount of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Zelnick was eligible to receive was $40,493,819.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annual total compensation of the median employee (excluding Mr. Zelnick) of the Company (including our consolidated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subsidiaries) was $86,683.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on the above, for fiscal 2026, the ratio of Mr. Zelnick’s annual total compensation to the annual total compensation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median employee was: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4.65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 based on Mr. Zelnick’s annual total compensation, as reported in the “Summary Compensation Table”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Statement, or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467.15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 based on the total maximum amount of compensation Mr. Zelnick was eligible to receive from ZMC and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in fiscal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pay ratio is a reasonable estimate calculated in a manner consistent with Item 402(u) of Regulation S-K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Securities Act of 1933, as amended. We determined the median of the annual total cash compensation of our employees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at which time we had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13,198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regular, temporary, and seasonal individuals employed on a full 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part-time basis, globally,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5,102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of whom are U.S. employees, and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8,096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(or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61.34%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our total employee population) of whom are located outside of the United States. We did not exclude any of the employees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 are located outside of the United States from the pool used to identify the median employee.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then compared the annualized base salaries, bonuses and commissions earned by our employees (other than Mr. Zelnick)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determine the median employee. Once we identified our median employee, we estimated such employee’s annual total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in accordance with the requirements of Item 402(c)(2)(x) of Regulation S-K, yielding the median annual total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disclosed above. There are a wide variety of job functions within our company, across numerous global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jurisdictions. Accordingly, the compensation paid to our employees differs greatly between departments, experience levels,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locations. We believe that our employees are fairly compensated and appropriately incentivized.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SEC rules for identifying the median compensated employee and calculating the pay ratio based on that employee’s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total compensation, allow companies to adopt a variety of methodologies, to apply certain exclusions, and to make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reasonable estimates and assumptions that reflect their employee populations and compensation practices. Accordingly,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 ratio reported by other companies may not be comparable to the pay ratio reported above, as other companies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different employee populations and compensation practices and may use different methodologies, exclusions, estimates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assumptions in calculating their own pay ratios.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accordance with rules adopted by the Securities and Exchange Commission pursuant to the Dodd-Frank Wall Street Reform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Consumer Protection Act of 2010, we provide the following disclosure regarding executive compensation for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officer (“PEO”) and Non-PEO NEOs and Company performance for the fiscal years listed below. The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Committee did not consider the pay versus performance disclosure below in making its pay decisions for any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years shown.</w:t>
      </w:r>
    </w:p>
    <w:tbl>
      <w:tblPr>
        <w:tblW w:w="98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6"/>
        <w:gridCol w:w="1276"/>
        <w:gridCol w:w="1276"/>
        <w:gridCol w:w="1276"/>
        <w:gridCol w:w="1276"/>
        <w:gridCol w:w="708"/>
        <w:gridCol w:w="1002"/>
        <w:gridCol w:w="1006"/>
        <w:gridCol w:w="1021"/>
      </w:tblGrid>
      <w:tr>
        <w:trPr/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 Year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Table Total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Non-PEO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10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 of Initial Fixed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$100 Investment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on: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5</w:t>
            </w:r>
          </w:p>
        </w:tc>
        <w:tc>
          <w:tcPr>
            <w:tcW w:w="100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Net Income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 Millions)</w:t>
            </w:r>
          </w:p>
        </w:tc>
        <w:tc>
          <w:tcPr>
            <w:tcW w:w="1021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Adjusted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EBITDA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6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 Millions)</w:t>
            </w:r>
          </w:p>
        </w:tc>
      </w:tr>
      <w:tr>
        <w:trPr/>
        <w:tc>
          <w:tcPr>
            <w:tcW w:w="9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08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02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Group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0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6,429,468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5,123,009</w:t>
            </w:r>
          </w:p>
        </w:tc>
        <w:tc>
          <w:tcPr>
            <w:tcW w:w="708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112</w:t>
            </w:r>
          </w:p>
        </w:tc>
        <w:tc>
          <w:tcPr>
            <w:tcW w:w="100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137</w:t>
            </w:r>
          </w:p>
        </w:tc>
        <w:tc>
          <w:tcPr>
            <w:tcW w:w="10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(298.2)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1,401.6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6,445,720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18,396,613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117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129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(4,478.9)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901.0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5,788,486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6,261,216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121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(3,744.2)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845.2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115,015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115,015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6,495,652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4,231,852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97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(1,124.7)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940.6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2022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142,996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142,996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3,316,198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2,134,073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87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107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418.0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827.2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(1)Strauss Zelnick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our PEO for each fiscal year presented. The individuals comprising the Non-PEO NEOs for each fiscal year presented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Lainie Goldstein, Karl Slatoff, and Daniel Emerson.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amounts shown for Compensation Actually Paid have been calculated in accordance with Item 402(v) of Regulation S-K and do not reflect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actually earned, realized, or received by the Company’s NEOs. These amounts reflect the Summary Compensation Table Total with certain adjustments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described in footnote 4 below.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(3)Messrs. Zelnick and Slatoff were compensated for their respective services to the Company under the 2022 Management Agreement and, prior to May 23,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2022, the 2017 Management Agreement. The provisions of the 2022 Management Agreement and the 2017 Management Agreement establish the payments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benefits to which ZMC is entitled as consideration for providing the services set forth therein. In general, in connection with their provision of services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Company, the actual amount of compensation received by Messrs. Zelnick and Slatoff is determined in the sole discretion of ZMC and without the Company’s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knowledge, except that, under the terms of the 2022 Management Agreement and the 2017 Management Agreement, Mr. Zelnick may not receive more than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60% of the payments and benefits made to ZMC and Mr. Slatoff may not receive more than 40% of the payments and benefits made to ZMC. Amounts paid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to Messrs. Zelnick and Slatoff are not included in this disclosure.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(4)Compensation Actually Paid reflects the exclusions and inclusions of certain amounts for the PEO and Non-PEO NEOs as set forth below. Equity values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calculated in accordance with ASC Topic 718. Amounts in the Exclusion of Stock Awards column are the totals from the Stock Awards column set forth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Summary Compensation Table.</w:t>
      </w:r>
    </w:p>
    <w:tbl>
      <w:tblPr>
        <w:tblW w:w="67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666"/>
        <w:gridCol w:w="1306"/>
        <w:gridCol w:w="1306"/>
        <w:gridCol w:w="1621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Summary 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Table Total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Exclusion 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Values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6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Compensation Actually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Paid to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6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</w:tr>
    </w:tbl>
    <w:tbl>
      <w:tblPr>
        <w:tblW w:w="7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666"/>
        <w:gridCol w:w="1471"/>
        <w:gridCol w:w="1426"/>
        <w:gridCol w:w="1621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Compensation Table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 for 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4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Exclusion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Stock Awards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4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Values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6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Actually Paid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6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6,429,468</w:t>
            </w:r>
          </w:p>
        </w:tc>
        <w:tc>
          <w:tcPr>
            <w:tcW w:w="14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(4,095,163)</w:t>
            </w:r>
          </w:p>
        </w:tc>
        <w:tc>
          <w:tcPr>
            <w:tcW w:w="14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2,788,704 </w:t>
            </w:r>
          </w:p>
        </w:tc>
        <w:tc>
          <w:tcPr>
            <w:tcW w:w="16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5,123,009 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amounts in the Inclusion of Equity Values in the tables above are derived from the amounts set forth in the following tables:</w:t>
      </w:r>
    </w:p>
    <w:tbl>
      <w:tblPr>
        <w:tblW w:w="8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051"/>
        <w:gridCol w:w="1036"/>
        <w:gridCol w:w="1036"/>
        <w:gridCol w:w="1036"/>
        <w:gridCol w:w="1036"/>
        <w:gridCol w:w="1081"/>
        <w:gridCol w:w="1036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Year-End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Remained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Unvested as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from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Prior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to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Vesting-Date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from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 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Dividends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 Earnings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Paid on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Otherwise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Included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 Values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tbl>
      <w:tblPr>
        <w:tblW w:w="82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051"/>
        <w:gridCol w:w="1036"/>
        <w:gridCol w:w="1036"/>
        <w:gridCol w:w="1036"/>
        <w:gridCol w:w="1036"/>
        <w:gridCol w:w="1036"/>
        <w:gridCol w:w="1126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 Year</w:t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Year-End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Remained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Unvested as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for Non-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from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Prior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to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Vesting-Date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from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 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Dividends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Earnings 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on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Otherwise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Included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1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 - 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Values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3,679,497 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(1,780,616)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889,823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2,788,704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(5)The Peer Group TSR set forth in this table utilizes the RDG Technology Composite Index, which we have also utilized in the stock performance graph required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by Item 201(e) of Regulation S-K included in our Annual Report on Form 10-K for the year ended March 31, 2026. The comparison assumes $100 was invested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period starting March 31, 2021, through the end of the listed fiscal year in the Company and in the RDG Technology Composite Index, 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Historical stock performance is not necessarily indicative of future stock performance.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(6)We determined Adjusted EBITDA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 be the most important financial performance measure used to link Company performance to Compensation Actually Paid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our NEOs in fiscal 2026. Adjusted EBITDA is a non-GAAP measure, which is defined as GAAP net income (loss) excluding the change in deferred net revenue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related cost of revenue, stock-based compensation, business reorganization, interest expense (income), depreciation and amortization, amortization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impairment of intangible assets, bonus, income taxes, fair value adjustments related to certain equity investments and acquisition-related costs. A reconciliation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GAAP net income to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 provided in Annex A.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Adjusted EBITDA may not have been the most important financial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measure in prior fiscal years, and we may determine a different financial performance measure to be the most important financial performance measure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future fiscal years.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Relationship Between PEO and Non-PEO NEO Compensation Actually Paid and Adjusted EBITDA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our Adjusted EBITDA during the five most recently completed fiscal years.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34410"/>
            <wp:effectExtent l="0" t="0" r="0" b="0"/>
            <wp:docPr id="289" name="Image2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289" descr="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4" w:name="i-289"/>
      <w:bookmarkEnd w:id="294"/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 xml:space="preserve">Relationship Between PEO and Non-PEO NEO Compensation Actually Paid and Total Shareholder 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Return (“TSR”)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the cumulative TSR over the five most recently completed fiscal years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and the RDG Technology Composite Index.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93465"/>
            <wp:effectExtent l="0" t="0" r="0" b="0"/>
            <wp:docPr id="290" name="Image2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290" descr="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5" w:name="i-290"/>
      <w:bookmarkEnd w:id="295"/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Relationship Between PEO and Non-PEO NEO Compensation Actually Paid and Net Income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our Net Income during the five most recently completed fiscal year.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34410"/>
            <wp:effectExtent l="0" t="0" r="0" b="0"/>
            <wp:docPr id="291" name="Image2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291" descr="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6" w:name="i-291"/>
      <w:bookmarkEnd w:id="296"/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SUPPLEMENTAL 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Tabular List of Most Important Financial Performance Measures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presents the financial performance measures that the Company considers to have been the most important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linking Compensation Actually Paid to our NEOs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Company performance. The measures in this table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 ranked.</w:t>
      </w:r>
    </w:p>
    <w:tbl>
      <w:tblPr>
        <w:tblW w:w="26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Adjusted EBITDA</w:t>
            </w:r>
          </w:p>
        </w:tc>
      </w:tr>
      <w:tr>
        <w:trPr/>
        <w:tc>
          <w:tcPr>
            <w:tcW w:w="262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Relative TSR</w:t>
            </w:r>
          </w:p>
        </w:tc>
      </w:tr>
      <w:tr>
        <w:trPr/>
        <w:tc>
          <w:tcPr>
            <w:tcW w:w="26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Recurrent Consumer Spending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Supplemental 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disclosure provides an alternative to the Pay Versus Performance disclosure above by incorporating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maximum compensation opportunities allocable by ZMC to Messrs. Zelnick and Slatoff under the 2022 Management Agreement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the 2017 Management Agreement. Refer to the Compensation Discussion &amp; Analysis for further detail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these arrangements. This disclosure is supplementary and is not intended to satisfy the requirements of Item 402(v)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Regulation S-K. The Compensation Committee did not consider the disclosure below in making its pay decisions for any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years shown.</w:t>
      </w:r>
    </w:p>
    <w:tbl>
      <w:tblPr>
        <w:tblW w:w="90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1"/>
        <w:gridCol w:w="1156"/>
        <w:gridCol w:w="1156"/>
        <w:gridCol w:w="1156"/>
        <w:gridCol w:w="1156"/>
        <w:gridCol w:w="677"/>
        <w:gridCol w:w="928"/>
        <w:gridCol w:w="901"/>
        <w:gridCol w:w="946"/>
      </w:tblGrid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to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to Non-PEO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60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Value of Initial Fixed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$100 Investment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based on: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5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Fiscal Year</w:t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7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928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Group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9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Income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 Millions)</w:t>
            </w:r>
          </w:p>
        </w:tc>
        <w:tc>
          <w:tcPr>
            <w:tcW w:w="9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EBITDA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 Millions)</w:t>
            </w:r>
          </w:p>
        </w:tc>
      </w:tr>
      <w:tr>
        <w:trPr/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45,043,098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35,059,708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16,349,486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12,824,533</w:t>
            </w:r>
          </w:p>
        </w:tc>
        <w:tc>
          <w:tcPr>
            <w:tcW w:w="677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112</w:t>
            </w:r>
          </w:p>
        </w:tc>
        <w:tc>
          <w:tcPr>
            <w:tcW w:w="928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137</w:t>
            </w:r>
          </w:p>
        </w:tc>
        <w:tc>
          <w:tcPr>
            <w:tcW w:w="9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(298)</w:t>
            </w:r>
          </w:p>
        </w:tc>
        <w:tc>
          <w:tcPr>
            <w:tcW w:w="94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1,401.6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43,302,010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118,690,718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16,044,732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44,748,653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117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129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(4,479)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901.0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32,754,669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46,964,443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13,006,396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16,636,856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121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(3,744)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845.2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50,006,805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42,108,832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17,582,716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13,563,715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97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(1,125)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940.6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21,499,437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16,151,492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8,062,073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5,691,540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87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107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418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827.2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(1)Strauss Zelnick was our PEO for each year presented. The individuals comprising the Non-PEO NEOs for each year presented were Lainie Goldstein,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Karl Slatoff, and Daniel Emerson.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(2)Messrs. Zelnick and Slatoff were compensated for their respective services to the Company under the 2022 Management Agreement and, prior to May 23,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2022, the 2017 Management Agreement. The provisions of the 2022 Management Agreement and the 2017 Management Agreement establish the payments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benefits to which ZMC is entitled as consideration for providing the services set forth therein. In general, in connection with their provision of services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Company, the actual amount of compensation received by Messrs. Zelnick and Slatoff is determined in the sole discretion of ZMC and without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knowledge, except that, under the terms of both Management Agreements, Mr. Zelnick may not receive more than 60% of the payments and benefits made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and Mr. Slatoff may not receive more than 40% of the payments and benefits made to ZMC. The data in this supplementary table reflect the maximum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opportunities of Messrs. Zelnick and Slatoff under these 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amounts shown for Compensation Actually Paid (Adjusted for Maximum ZMC Opportunity) do not reflect compensation actually earned, realized,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received by the Company’s NEOs.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(4)Compensation Actually Paid (Adjusted for Maximum ZMC Opportunity) reflects: (1) the exclusion of Stock Awards from the Summary Compensation Table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all the NEOs and, for Messrs. Zelnick and Slatoff, the exclusion of the accounting value of stock awards that could be granted to each by ZMC under the 2022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Management Agreement and 2017 Management Agreement, assuming their maximum ZMC compensation opportunities; and (2) the inclusion of the value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equity awards granted by the Company to non-ZMC NEOs and, for, Messrs. Zelnick and Slatoff, to ZMC, assuming their maximum ZMC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opportunities. The equity award adjustments for each applicable year in this supplementary disclosure include the addition or subtraction of amounts as would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 required under Regulation S-K, Item 402(v)(2)(iii).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(5)See the section of this Proxy Statement captioned Pay Versus Performance Disclosure for the methodology used in calculating TSR and Peer Group TSR.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(6)See the section of this Proxy Statement captioned Pay Versus Performance Disclosure for a description of this performance measure.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COMPENSATION OF DIRECTORS DURING 2026 FISCAL YEAR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Supplemental Tabular List of Most Important Financial Performance Measures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supplemental table presents the financial performance measures that the Company considers to have been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most important in linking Compensation Actually Paid (Adjusted for Maximum ZMC Opportunity) to our PEO and other NEOs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 2026 to Company performance. The measures in this table are not ranked.</w:t>
      </w:r>
    </w:p>
    <w:tbl>
      <w:tblPr>
        <w:tblW w:w="26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4" w:space="0" w:color="18333C"/>
              <w:left w:val="single" w:sz="4" w:space="0" w:color="18333C"/>
              <w:bottom w:val="single" w:sz="4" w:space="0" w:color="18333C"/>
              <w:right w:val="single" w:sz="4" w:space="0" w:color="18333C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Adjusted EBITDA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Relative 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 Consumer Spending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Policies Related to the Grant of Certain Equity Awards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do not currently grant new awards of stock options, stock appreciation rights, or similar option-like equity awards.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Accordingly, we have no specific policy or practice on the timing of grants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such awards in relation to the disclosure of 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non-public information by us, which would require disclosure under Item 402(x) of Regulation S-K.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event we determine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 new awards of stock options or similar equity awards in the future, the Compensation Committee will evaluate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appropriate steps to take in relation to the foregoing. We have not timed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release of material non-public information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of affecting the value of executive 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Compensation of Directors During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Fiscal Year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reviews and makes recommendations to the Board regarding the form and amount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for non-employee directors. Typically, on an annual basis, the Committee considers a board compensation study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its independent compensation consultant to support the Committee in its deliberations.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compensation may include, but is not limited to, the following elements: board or committee retainer, board or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meeting fees, committee chair retainer or fees, equity compensation, benefits and perquisites. All directors who served during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other than Mr. Zelnick, are regarded as non-employee directors.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key elements of the compensation payable to our non-employee directors are as follows:</w:t>
      </w:r>
    </w:p>
    <w:tbl>
      <w:tblPr>
        <w:tblW w:w="95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1"/>
        <w:gridCol w:w="2161"/>
        <w:gridCol w:w="1516"/>
        <w:gridCol w:w="1306"/>
        <w:gridCol w:w="2476"/>
      </w:tblGrid>
      <w:tr>
        <w:trPr/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Component</w:t>
            </w:r>
          </w:p>
        </w:tc>
        <w:tc>
          <w:tcPr>
            <w:tcW w:w="21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 of 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Under 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Policy</w:t>
            </w:r>
          </w:p>
        </w:tc>
        <w:tc>
          <w:tcPr>
            <w:tcW w:w="24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Notes</w:t>
            </w:r>
          </w:p>
        </w:tc>
      </w:tr>
      <w:tr>
        <w:trPr/>
        <w:tc>
          <w:tcPr>
            <w:tcW w:w="20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Retainer</w:t>
            </w:r>
          </w:p>
        </w:tc>
        <w:tc>
          <w:tcPr>
            <w:tcW w:w="3677" w:type="dxa"/>
            <w:gridSpan w:val="2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For Each Non-Employee Director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$300,000</w:t>
            </w:r>
          </w:p>
        </w:tc>
        <w:tc>
          <w:tcPr>
            <w:tcW w:w="24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$235,000 restricted stock/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$65,000 cash</w:t>
            </w:r>
          </w:p>
        </w:tc>
      </w:tr>
      <w:tr>
        <w:trPr/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Lead Independent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Director Additional Fees</w:t>
            </w:r>
          </w:p>
        </w:tc>
        <w:tc>
          <w:tcPr>
            <w:tcW w:w="3677" w:type="dxa"/>
            <w:gridSpan w:val="2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For Lead Independent Director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$200,000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$100,000 restricted stock/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$100,000 cash</w:t>
            </w:r>
          </w:p>
        </w:tc>
      </w:tr>
      <w:tr>
        <w:trPr/>
        <w:tc>
          <w:tcPr>
            <w:tcW w:w="204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 Fees</w:t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Audit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 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$15,000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Corporate Governance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Technology Risk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Executive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N/A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Lead Independent Director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serves as Executive Committee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Chair for no additional fee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Other Independent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$25,000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non-employee director may make an election to receive up to 100% of their annual retainer and committee fees in shares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of restricted stock.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Ms. Siminoff and Messrs. Gordon and Viera elected to receive 100% of these fees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 stock.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DIRECTOR COMPENSATION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Shift to Annual Grant Structure for Director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prior fiscal years, and through September 2025, the restricted stock portion of the annual retainer was granted in four equal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quarterly installments and vested on the first anniversary of the grant date (discussed below). Grants of restricted stock were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generally made on the fifth trading day following the filing of the Company’s Annual Report on Form 10-K or Quarterly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10-Q, as applicable. The number of shares of restricted stock granted was determined by dividing the dollar value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stock to be delivered by the average of the closing prices of our common stock on the 30 trading days prior to the fifth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trading day following the filing of the Company’s Annual Report on Form 10-K or Quarterly Report on Form 10-Q, as applicable.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During fiscal 2026, the Company, upon the recommendation of the Compensation Committee’s independent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consultant and with the approval by the Board of Directors, decided to transition to an annual grant structure for the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stock portion of the annual retainer. The first annual grant was made on October 1, 2025, and future grants of restricted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planned to be made on October 1st of each year. The vesting of such annual grants will be on the first anniversary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date. The number of shares of restricted stock to be granted pursuant to the annual grant will be determined by dividing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dollar value of the restricted stock to be delivered by the average of the closing prices of our common stock on the 30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trading days prior to October 1st. For fiscal 2026, the amounts listed in the Director Compensation Table below include two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quarterly grants made in May 2025 (for service from April 1, 2025 to June 30, 2025) and August 2025 (for service from July 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2025 to September 30, 2025) under the old grant structure as well as the annual grant made in October 2025 (for service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October 1, 2025 to September 30, 2026) under the new structure. As a result, solely due to the shift in grant practice, the value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stock awards set forth in the table below for fiscal 2026 represents the equivalent of six quarterly awards for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director, although the amount of compensation received on an annual basis did not increase.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2017 Plan, the maximum value of awards granted to non-employee directors in any one calendar year, together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cash fees paid to such directors during such calendar year in respect of such director’s service as a member of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 during such year, may not, absent extraordinary circumstances, exceed $750,000 in total value. As determined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in its discretion, this limit may be increased for a non-executive chair of the Board of Directors or,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extraordinary circumstances, for other individual non-employee directors; provided that the non-employee director receiving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such additional compensation may not participate in the decision to award such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Reimbursement of Certain Expenses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Non-employee directors are reimbursed for travel expenses to attend Board of Directors and committee meetings and to attend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education seminars in accordance with policies approved from time to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Director Stock Ownership Requirements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stock ownership requirements for non-employee directors of the Company, non-employee directors are required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own shares of common stock having a value equal to five times the annual cash retainer. Current non-employee directors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required to achieve such stock position within five years after the date of the adoption of the requirements and future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 directors shall achieve such ownership position within five years after the date of their election to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Directors. Information regarding executive officer stock ownership requirements is set forth in this Proxy Statement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Discussion and Analysis.” Each non-employee director owned shares in excess of the requirements as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record date.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DIRECTOR COMPENSATION TABLE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Director Compensation Table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concerning the compensation of the Company’s non-employee directors during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48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291"/>
        <w:gridCol w:w="706"/>
        <w:gridCol w:w="73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Fees Earned 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Paid in 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7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7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29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105,000</w:t>
            </w:r>
          </w:p>
        </w:tc>
        <w:tc>
          <w:tcPr>
            <w:tcW w:w="7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471,017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96,060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462,077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105,122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471,139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99,647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465,664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521,768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686,768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109,620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475,637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Paul Viera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451,017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William “Bing” Gordon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69,620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435,637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Ellen Siminoff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(5)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461,017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grant date fair value of awards granted to our directors during fiscal 2026, determined under ASC Topic 718, Compensation—Stock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Compensation. For additional information with respect to stock awards granted during fiscal 2026, see Note 16 under the heading “Stock-Based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Compensation” of the Notes to Consolidated Financial Statements included in the Company’s Annual Report on Form 10-K for fiscal 2026. The amounts above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reflect the grant date fair value for these awards, excluding the accounting effect of any estimate of future forfeitures, and do not necessarily correspond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actual value that might be recognized by the directors. As described above, in fiscal 2026, we transitioned to an annual restricted stock grant structure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October 2025 and so the amounts listed in this table include two quarterly grants made in May 2025 (for service from April 1, 2025 to June 30, 2025)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August 2025 (for service from July 1, 2025 to September 30, 2025) under the old grant structure as well as the annual grant made in October 2025 (for service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from October 1, 2025 to September 30, 2026) under the new structure. As a result, solely due to the shift in grant practice, the value of the stock awards set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forth in the table for fiscal 2026 represent the equivalent of six quarterly awards, although the amount of compensation received on an annual basis did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increase. As of March 31, 2026, Messrs. Dornemann, Gordon, Hernandez, Moses, Sheresky and Viera, and Mses. Siminoff, Srinivasan and Tolson held 1,483,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1,483, 1,483, 1,483, 1,483, 1,483, 1,483, 2,114, and 1,483 outstanding unvested restricted stock awards, respectively.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fiscal 2026, Mr. Viera elected to receive all of his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94, 92, 87 and 86 shares of stock were granted to Mr. Viera with grant date fair values of $21,463, $21,451, $22,220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$22,019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(3)For fiscal 2026, Mr. Gordon elected to receive all of his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72, 70, 66, and 84 shares of stock were granted to Mr. Gordon with grant date fair values of $16,440, $16,321, $16,856,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$21,507,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(4)Mr. Zelnick serves as our CEO and therefore he does not receive any compensation for serving as a director.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(5)For fiscal 2026, Ms. Siminoff elected to receive all of her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105, 102, 97, and 96 shares of stock were granted to Ms. Siminoff with grant date fair values of $23,975, $23,782, $24,774,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$24,579,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EQUITY COMPENSATION PLAN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table p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resents information concerning our equity compensation plans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8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06"/>
        <w:gridCol w:w="1321"/>
        <w:gridCol w:w="1321"/>
        <w:gridCol w:w="1381"/>
        <w:gridCol w:w="1486"/>
      </w:tblGrid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Category</w:t>
            </w:r>
          </w:p>
        </w:tc>
        <w:tc>
          <w:tcPr>
            <w:tcW w:w="132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be Issued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Upon 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 Rights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(1)(2)</w:t>
            </w:r>
          </w:p>
        </w:tc>
        <w:tc>
          <w:tcPr>
            <w:tcW w:w="132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Exercise Price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138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Contractual Life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(years)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148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Available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Future Issuance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Under 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Plans (Excluding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Reflected in the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First Column)</w:t>
            </w:r>
          </w:p>
        </w:tc>
      </w:tr>
      <w:tr>
        <w:trPr/>
        <w:tc>
          <w:tcPr>
            <w:tcW w:w="430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Equity compensation plans approved by shareholders</w:t>
            </w:r>
          </w:p>
        </w:tc>
        <w:tc>
          <w:tcPr>
            <w:tcW w:w="132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8,458,572</w:t>
            </w:r>
          </w:p>
        </w:tc>
        <w:tc>
          <w:tcPr>
            <w:tcW w:w="132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27.43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3.29</w:t>
            </w:r>
          </w:p>
        </w:tc>
        <w:tc>
          <w:tcPr>
            <w:tcW w:w="148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18,419,808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4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Equity compensation plans not approved by shareholders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8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0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8,458,572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27.43</w:t>
            </w:r>
          </w:p>
        </w:tc>
        <w:tc>
          <w:tcPr>
            <w:tcW w:w="138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3.29</w:t>
            </w:r>
          </w:p>
        </w:tc>
        <w:tc>
          <w:tcPr>
            <w:tcW w:w="148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18,419,808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of March 31, 2026, the Company also had 13,978 shares of outstanding restricted stock, which are not reflected in the table because they are treated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issued and outstanding and will not have additional dilutive impact on the Company when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awards vest.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(2)As of March 31, 2026, the Company had 140 stock options outstanding, all of which were assumed by the Company in connection with its acquisitions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Playdots in September 2020 and Zynga in May 2022, which options are included in the amount shown.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(3)Relates only to the Company’s outstanding options.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(4)As of March 31, 2026, consisted of (i) 11,207,131 shares of common stock remaining available for future issuance under the 2017 Plan and (ii) 7,212,677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shares of common stock remaining available for future issuance under the 2017 Global ESPP. After giving effect to the purchase on April 30, 2026, by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employees of an aggregate of 175,071 shares of common stock pursuant to the 2017 Global ESPP, there were 7,037,606 shares of common stock remaining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available for future issuance under the 2017 Global ESPP.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Compensation Committee Interlocks and Insider Participation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Messrs. Dornemann, Hernandez, Moses and Sheresky served as members of the Compensation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Committee. 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members of the Compensation Committee was an officer (or former officer) or employee of the Company or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its subsidiaries;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members of the Compensation Committee had a direct or indirect material interest in any transaction in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was a participant and the amount involved exceeded $120,000;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served on the compensation committee (or another board committee with similar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functions or, if none, the entire board) of another entity where one of that entity’s executive officers served on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Committee;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was a director of another entity where one of that entity’s executive officers served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Company’s Compensation Committee;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served on the compensation committee (or another board committee with similar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functions or, if none, the entire board of directors) of another entity where one of that entity’s executive officers served as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on the Board of Directors.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VOTING SECURITY OWNERSHIP OF CERTAIN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BENEFICIAL OWNERS AND MANAGEMENT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certain information as of July 15,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(unless otherwise noted) relating to the beneficial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ownership of shares of the common stock by (i) each person or entity who is known by the Company to own beneficially five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percent or more of the outstanding common stock, (ii) each current director, (iii) each director nominee, (iv) each of the NEOs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(v) all current directors and executive officers as a group.</w:t>
      </w:r>
    </w:p>
    <w:tbl>
      <w:tblPr>
        <w:tblW w:w="86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66"/>
        <w:gridCol w:w="1756"/>
        <w:gridCol w:w="1936"/>
      </w:tblGrid>
      <w:tr>
        <w:trPr/>
        <w:tc>
          <w:tcPr>
            <w:tcW w:w="4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 and Address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Beneficial Owner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7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Common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Beneficially Owned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9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Percentage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Outstanding 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Beneficially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Owned</w:t>
            </w:r>
          </w:p>
        </w:tc>
      </w:tr>
      <w:tr>
        <w:trPr/>
        <w:tc>
          <w:tcPr>
            <w:tcW w:w="49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Vanguard Capital Management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7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13,131,908</w:t>
            </w:r>
          </w:p>
        </w:tc>
        <w:tc>
          <w:tcPr>
            <w:tcW w:w="19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7.02%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BlackRock, Inc.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12,726,923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6.81%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State Street Corporation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(5)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12,026,195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6.43%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Public Investment Fund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(6)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11,414,680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6.10%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JPMorgan Chase &amp; Co.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(7)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9,303,967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4.98%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(8)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1,382,568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(9)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1,126,165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Lainie Goldstein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(10)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283,374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Daniel Emerson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(11)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113,988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21,868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65,495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20,374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8,719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32,122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Paul Viera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(12)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92,347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10,727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William B. Gordon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57,187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Ellen Siminoff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(13)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12,237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All directors and executive officers as a group (13 persons)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(14)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2,101,061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1.12%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*Less than 1%.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(1)Unless otherwise indicated, the address of each beneficial owner is Take-Two Interactive Software, Inc., 110 West 44th Street, New York, New York 10036.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address for Vanguard Capital Management is 100 Vanguard Blvd., Malvern, Pennsylvania 19355. The address of BlackRock, Inc. is 55 East 52nd Street, New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York, New York 10055. The address for State Street Corporation is One Congress Street, Suite 1, Boston, MA 02114. The address for the Public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Fund is The Public Investment Fund Tower, King Abdullah Financial District (KAFD), Al Aqiq District, Riyadh, Kingdom of Saudi Arabia. The address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JPMorgan Chase &amp; Co. is 383 Madison Avenue, New York, NY 10179.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(2)Unless otherwise indicated, the Company believes that all persons named in the table have sole voting and investment power with respect to all shares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beneficially owned by them. A person is deemed to be the beneficial owner of securities that may be acquired by such person within 60 days after July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15, 2026, and is not deemed to be the beneficial owner of securities that may not be acquired within 60 days after July 15, 2026. Each beneficial owner’s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ownership is determined by assuming that exercisable securities that are held by such person (but not those held by any other person), and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are exercisable within 60 days after July 15, 2026, have been exercised.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(3)Based on information contained in a report on Schedule 13G filed with the SEC on April 30, 2026.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(4)Based on information contained in a report on Schedule 13G/A filed with the SEC on January 26, 2024.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(5)Based on information contained in a report on Schedule 13G filed with the SEC on May 12,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(6)Based on information contained in a report on Schedule 13G/A filed with the SEC on December 31, 2025 by The Public Investment Fund (“PIF”), Saudi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Electronic Games Holding Company (“Savvy”) and The Saudi Fourth Investment Company (“Saudi Fourth”). According to the Schedule 13G/A, Saudi Fourth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direct holder of the shares and PIF, as sole owner of Savvy, and Savvy as the sole owner of Saudi Fourth, may be deemed to share voting and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power over the shares of common stock held by Saudi Fourth and therefore may be deemed to beneficially own such shares.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(7)Based on information contained in a report on Schedule 13G filed with the SEC on July 30,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VOTING SECURITY OWNERSHIP OF CERTAIN BENEFICIAL OWNERS AND MANAGEMENT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(8)Mr. Zelnick is a partner at ZMC. The shares listed include 192,314 shares of common stock held by Zelnick/Belzberg Living Trust (such shares are indirectly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held by Mr. Zelnick), 64,089 shares of common stock held by the Wendy Jay Belzberg 2012 Family Trust (such shares are indirectly held by Mr. Zelnick),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1,126,165 RSUs held by ZMC (such units are not held individually by Mr. Zelnick). Mr. Zelnick disclaims beneficial ownership of the securities held by each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Zelnick/Belzberg Living Trust, the Wendy Jay Belzberg 2012 Family Trust, and ZMC except to the extent of his pecuniary interest therein. The 1,126,165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held by ZMC consist of (a) unvested RSUs granted to ZMC on June 3, 2024, settle-able for up to 448,180 shares of common stock that will vest, if at all,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June 1, 2027 with respect to the remaining time-based RSUs included in such grant and on June 1, 2027 with respect to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in such grant, (b) unvested RSUs granted to ZMC on June 2, 2025, settle-able for up to 348,036 shares of common stock that will vest, if at all,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equal installments on June 1, 2027 and June 1, 2028 with respect to the remaining time-based RSUs included in such grant and on June 1, 2028 with respect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 the performance-based RSUs included in such grant, and (c) unvested RSUs granted to ZMC on June 1, 2026, settle-able for up to 329,949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common stock that will vest, if at all, in equal installments on June 1, 2027, June 1, 2028 and June 1, 2029 with respect to the time-based RSUs included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such grant and on June 1, 2029 with respect to the performance-based RSUs included in such grant, subject in each case to acceleration or forfeiture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certain circumstances. A portion of each grant is subject to time-based vesting and the other portion is subject to performance-based vesting.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(9)Mr. Slatoff is a partner at ZMC. The shares listed include 1,126,165 RSUs held by ZMC (such units are not held individually by Mr. Slatoff). Mr. Slatoff disclaims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beneficial ownership of the securities held by ZMC except to the extent of his pecuniary interest therein. The 1,126,165 RSUs held by ZMC consist of (a)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unvested RSUs granted to ZMC on June 3, 2024, settle-able for up to 448,180 shares of common stock that will vest, if at all, on June 1, 2027 with respect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remaining time-based RSUs included in such grant and on June 1, 2027 with respect to the performance-based RSUs included in such grant, (b) unvested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granted to ZMC on June 2, 2025, settle-able for up to 348,036 shares of common stock that will vest, if at all, in equal installments on June 1, 2027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June 1, 2028 with respect to the remaining time-based RSUs included in such grant and on June 1, 2028 with respect to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in such grant, and (c) unvested RSUs granted to ZMC on June 1, 2026, settle-able for up to 329,949 shares of common stock that will vest, if at all,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equal installments on June 1, 2027, June 1, 2028 and June 1, 2029 with respect to the time-based RSUs included in such grant and on June 1, 2029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respect to the performance-based RSUs included in such grant, subject in each case to acceleration or forfeiture under certain circumstances. A portion of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 is subject to time-based vesting and the other portion is subject to performance-based vesting.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(10)The shares listed include (i) 117,165 shares of common stock held by Ms. Goldstein, (ii) 29,079 unvested time-based RSUs held by Ms. Goldstein,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(iii) 137,130 unvested performance-based RSUs held by Ms. Goldstein. Such unvested awards will vest, or fail to vest, in accordance with the terms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applicable award 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(11)The shares listed include (i) 1,040 shares of common stock held by Mr. Emerson, (ii) 19,736 unvested time-based RSUs held by Mr. Emerson, and (iii) 93,212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unvested performance-based RSUs held by Mr. Emerson. Such unvested awards will vest, or fail to vest, in accordance with the terms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award 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(12)The shares listed include 75,000 shares of common stock held by The PEV Revocable Living Trust (such securities are indirectly held by Mr. Viera), which were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purchased on the open market in August 2018.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(13)The shares listed include (i) 8,571 shares of common stock held by Ms. Siminoff, (ii) 1,833 shares of common stock held by the EFS 2022 Irrevocable Trust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(such securities are indirectly held by Ms. Siminoff) and (iii) 1,833 shares of common stock held by the D&amp;E Living trust (such securities are indirectly held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Ms. Siminoff).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(14)The 1,126,165 RSUs held by ZMC that are beneficially owned by Messrs. Zelnick and Slatoff, are only included once.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CERTAIN RELATIONSHIPS AND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RELATED TRANSACTIONS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and ZMC are parties to the 2022 Management Agreement that became effective on the Effective Date,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superseded the prior management agreement with ZelnickMedia dated as of November 17, 2017 (the “2017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Agreement”). In fiscal 2026, ZMC provided financial and management consulting services to the Company pursuant to the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Agreement. References to the “Management Agreement” in this Proxy Statement refer to both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 and the 2022 Management Agreement interchangeably.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Term and Personnel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2022 Management Agreement provides for a term that commenced on the Effective Date and continues through March 31,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2029 (the “</w:t>
      </w:r>
      <w:r>
        <w:rPr>
          <w:rFonts w:ascii="Arial;sans-serif" w:hAnsi="Arial;sans-serif"/>
          <w:b w:val="false"/>
          <w:i/>
          <w:sz w:val="18"/>
          <w:u w:val="single"/>
        </w:rPr>
        <w:t>MA Term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), unless earlier terminated in accordance with its terms. Under the Management Agreement, ZMC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continues to provide certain individuals as it deems appropriate for the performance of the Management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Specifically (i) Mr. Zelnick serves as Executive Chairman of the Board of Directors and CEO of the Company, (ii) Mr. Slatoff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serves as the Company’s President, and (iii) other ZMC personnel as appropriate provide services to the Company on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project-by-project, as needed basis.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Mr. Zelnick or any other employee of ZMC acting in an executive capacity for the Company pursuant to the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 is unable or unavailable to serve in such capacity (other than due to a termination by the Company without Cause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their resignation for Good Reason (as such terms are defined in such person’s employment agreement with the Company or,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case of Mr. Zelnick, in the Management Agreement)), and ZMC is unable to provide a qualified individual within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reasonable period of time to serve in such capacity who is reasonably satisfactory to the Board of Directors, then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 fill such position with a person not affiliated with ZMC and deduct the costs of such person’s compensation from ZMC’s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under the Management Agreement (with such deduction limited to no more than 60% of the aggregate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payable to ZMC if such person replaces Mr. Zelnick and no more than 40% of the aggregate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payable to ZMC if such person replaces Mr. Slatoff).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Management Fee and Annual Bonus Opportunity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Agreement, the Company pays a monthly management fee equal to $275,000 per month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($3,300,000 annualized). The management fee will not be decreased during the MA Term. In addition to the monthly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fee, ZMC receives an annual bonus, subject to the achievement by the Company of certain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thresholds in respect of each of the fiscal years ending March 31, 2023, 2024, 2025, 2026, 2027, 2028 and 2029. For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(other than for the period from April 1, 2022, to May 23, 2022), the annual bonus opportunity ranges from $0 (at 80%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Target, as defined in the 2022 Management Agreement) to $13,200,000 (at 150% of the Target or greater). The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opportunity will not be increased or decreased during the MA Term. If the 2022 Management Agreement is terminated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without Cause (as defined in the 2022 Management Agreement) or by ZMC for Good Reason (as defined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2022 Management Agreement) (whether before or after a Change in Control (as defined in the 2022 Management Agreement)),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entitled to be paid on the date of termination an amount equal to the sum of (i) the earned but unpaid portion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fee, (ii) any accrued but unpaid annual bonus for a completed fiscal year and (iii) three times the sum of the per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annum management fee plus the Target bonus amount.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Expense Reimbursement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entitled to the reimbursement of reasonable out-of-pocket expenses in connection with the Management Agreement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rendering of services thereunder.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Limits on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Management Agreement, no more than 60% of the aggregate compensation payable to ZMC under the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 (whether in the form of the management fee, the annual bonus or the RSU awards) shall be received by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conveyed to Mr. Zelnick (or such other employee of ZMC that serves as Executive Chairman and CEO of the Company) and no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more than 40% of such aggregate compensation shall be received by or conveyed to Mr. Slatoff (or such other employee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that serves as the President of the Company).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Restrictions on Sale of Vested Stock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Agreement, prior to March 31, 2029 (or earlier in the event of a Change in Control) ZMC and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Subject Person (as defined in the 2022 Management Agreement) are prohibited from selling or otherwise disposing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common stock of the Company, if the Market Value (as defined in the 2022 Management Agreement) of all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of the Company (including restricted stock and RSUs, but excluding any unvested restricted stock or RSUs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 subject to performance-based vesting), after giving effect to such proposed sale or other disposition, owned by ZMC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each Subject Person in the aggregate as of the trading day immediately preceding the date of the proposed sale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disposition, would be less than six times (6x) the per annum management fee (excluding any bonuses).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Awards under the 2022 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2022 Management Agreement, as further described below, the Company granted RSUs to ZMC under the 2017 Plan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 consisting of transition period two year cliff vest RSUs (the “2022 Transition Period 2 Year Cliff Vest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Units”), three year transition period cliff vest RSUs (the “2022 Transition Period 3 Year Cliff Vest Restricted Units”), and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RSUs (the “2022 Annual Grant Restricted Units” and, together with the 2022 Transition Period 2 Year Cliff Vest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 and the 2022 Transition Period 3 Year Cliff Vest Restricted Units, the “2022 New Deal Restricted Units”), on June 1, 2023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(the “2023 Restricted Units”), on June 3, 2024 (the “2024 Restricted Units”), on June 2, 2025 (the “2025 Restricted Units”)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2026 (the “2026 Restricted Units,” and together with the 2022 New Deal Restricted Units, the 2023 Restricted Units,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2024 Restricted Units, and the 2025 Restricted Units, the “Restricted Units”). The 2022 Transition Period 2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Units, comprised of both time-based and performance-based RSUs as described below, were granted pursuant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terms of a Restricted Unit Agreement dated June 1, 2022, by and between the Company and ZMC (the “2022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Period 2 Year Cliff Vest Restricted Unit Agreement”). The 2022 Transition Period 3 Year Cliff Vest Restricted Units, comprised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both time-based and performance-based RSUs as described below, were granted pursuant to the terms of a 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 dated June 1, 2022, by and between the Company and ZMC (the “2022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 Agreement”). The 2022 Annual Grant Restricted Units, comprised of both time-based and performance-based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RSUs as described below, were granted pursuant to the terms of a Restricted Unit Agreement dated June 1, 2022, by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between the Company and ZMC (the “2022 Annual Grant Restricted Unit Agreement” and, together with the 2022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Period 2 Year Cliff Vest Restricted Unit Agreement and the 2022 Transition Period 3 Year Cliff Vest Restricted Unit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“2022 New Deal Restricted Unit Agreements”). The 2023 Restricted Units, comprised of both time-based and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RSUs as described below, were granted pursuant to the terms of a Restricted Unit Agreement dated June 1, 2023,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between the Company and ZMC (the “2023 Restricted Unit Agreement”). The 2024 Restricted Units, comprised of both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time-based and performance-based RSUs as described below, were granted pursuant to the terms of a 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 dated June 3, 2024, by and between the Company and ZMC (the “2024 Restricted Unit Agreement”). The 2025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Units, comprised of both time-based and performance-based RSUs as described below, were granted pursuant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terms of a Restricted Unit Agreement dated June 2, 2025, by and between the Company and ZMC (the “2025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 Agreement”). The 2026 Restricted Units, comprised of both time-based and performance-based RSUs as described below,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granted pursuant to the terms of a Restricted Unit Agreement dated June 1, 2026, by and between the Company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ZMC (the “2026 Restricted Unit Agreement,” and together with the 2022 New Deal Restricted Unit Agreements, the 2023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 Agreement, the 2024 Restricted Unit Agreement, and the 2025 Restricted Unit Agreement, the “Restricted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Agreements”). As of March 31, 2026, all restricted stock units granted prior to June 1, 2022 have vested and/or have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forfeited pursuant to their terms. Under the 2022 Management Agreement, the Company, in its discretion, may grant additional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equity awards to ZMC over the course of the MA Term.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Transition Period 2 Year Cliff Vest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2022, the Company issued to ZMC 37,733 time-based RSUs (such number determined by dividing $4,618,519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10 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2022), all of which units vested on May 31, 2024 (the “2022 Transition Period 2 Year Cliff Vest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Time-Based 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150,932 performance-based RSUs (the “2022 Transition Period 2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Award”), representing the maximum number of performance-based RSUs that are eligible to vest (with the target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performance-based RSUs of 75,466 based on $9,237,037 divided by the average of the closing prices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common stock for each trading day during the 10 trading day period immediately prior to June 1, 2022).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2 Year Cliff Vest Performance Award was divided into the following two categories based on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performance-vesting criteria (as described in the 2022 Transition Period 2 Year Cliff Vest Restricted Unit Agreement): Recurrent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Spending Performance-Based Units and TSR Performance-Based Units. The results and payout levels for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2 Year Cliff Vest Performance Award, which vested or failed to vest, on May 31, 2024, are as follows: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5"/>
        <w:gridCol w:w="2220"/>
        <w:gridCol w:w="2536"/>
        <w:gridCol w:w="2279"/>
      </w:tblGrid>
      <w:tr>
        <w:trPr/>
        <w:tc>
          <w:tcPr>
            <w:tcW w:w="2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2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481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2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2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5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7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</w:tr>
      <w:tr>
        <w:trPr/>
        <w:tc>
          <w:tcPr>
            <w:tcW w:w="2565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37,732</w:t>
            </w:r>
          </w:p>
        </w:tc>
        <w:tc>
          <w:tcPr>
            <w:tcW w:w="2220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45,280</w:t>
            </w:r>
          </w:p>
        </w:tc>
        <w:tc>
          <w:tcPr>
            <w:tcW w:w="25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7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67,920</w:t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Transition Period 3 Year Cliff Vest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2022, the Company issued to ZMC 41,303 time-based RSUs (such number determined by dividing $5,055,556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average of the closing prices of the Company’s common stock for each trading day during the 10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2022), all of which units vested on May 30, 2025 (the “2022 Transition Period 3 Year Cliff Vest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Time-Based 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165,214 performance-based RSUs (the “2022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Award”), representing the maximum number of performance-based RSUs that are eligible to vest (with the target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performance-based RSUs of 82,607 based on $10,111,111 divided by the average of the closing prices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common stock for each trading day during the 10 trading day period immediately prior to June 1, 2022).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3 Year Cliff Vest Performance Award was divided into the following two categories based on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performance-vesting criteria (as described in the 2022 Transition Period 3 Year Cliff Vest Restricted Unit Agreement): Recurrent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Spending Performance-Based Units and TSR Performance-Based Units. The results and payout levels for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3 Year Cliff Vest Performance Award, which vested or failed to vest, on May 30, 2025, are as follows: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5"/>
        <w:gridCol w:w="2220"/>
        <w:gridCol w:w="2514"/>
        <w:gridCol w:w="2301"/>
      </w:tblGrid>
      <w:tr>
        <w:trPr/>
        <w:tc>
          <w:tcPr>
            <w:tcW w:w="2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3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481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3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2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514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 (1)</w:t>
            </w:r>
          </w:p>
        </w:tc>
        <w:tc>
          <w:tcPr>
            <w:tcW w:w="23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 (2)</w:t>
            </w:r>
          </w:p>
        </w:tc>
      </w:tr>
      <w:tr>
        <w:trPr/>
        <w:tc>
          <w:tcPr>
            <w:tcW w:w="2565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41,304</w:t>
            </w:r>
          </w:p>
        </w:tc>
        <w:tc>
          <w:tcPr>
            <w:tcW w:w="2220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123,910</w:t>
            </w:r>
          </w:p>
        </w:tc>
        <w:tc>
          <w:tcPr>
            <w:tcW w:w="2514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30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RCS achievement for this award that vested in fiscal 2026 was in excess of the maximum goal, which resulted in the maximum vesting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for the RSUs (i.e., 200% of target) based on achievement of RCS performance-vesting criteria,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Company’s relative TSR achievement for this award that vested in fiscal 2026 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RSUs (i.e. 200% of target) based on achievement of TSR performance-vesting criteria, and no shares being forfeited.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Annual Grant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56,100 time-based RSUs (such number determined by dividing $6,866,667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average of the closing prices of the Company’s common stock for each trading day during the 10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2022), all of which units have vested as of May 30, 2025, (the “2022 Annual Grant Time-Based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Award” and, together with the 2022 Transition Period 2 Year Cliff Vest Time-Based Award and 2022 Transition Period 3 Year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Cliff Vest Time-Based Award, the “2022 New Deal Time-Based Awards”).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224,402 performance-based RSUs (the “2022 Annual Grant Performance Award”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and, together with the 2022 Transition Period 2 Year Cliff Vest Performance Award and the 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Award, the “2022 New Deal Performance Awards”), representing the maximum number of performance-based RSUs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are eligible to vest (with the target number of performance-based RSUs of 112,201 based on $13,733,333 divided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average of the closing prices of the Company’s common stock for each trading day during the 10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2022). The 2022 Annual Grant Performance Award was divided into the following two categories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on the applicable performance-vesting criteria (as described in the 2022 Annual Grant Restricted Unit Agreement):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Recurrent Consumer Spending Performance-Based Units and TSR Performance-Based Units. The results and payout levels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2022 Annual Grant Performance Award, which vested or failed to vest, on May 30, 2025, are as follows:</w:t>
      </w:r>
    </w:p>
    <w:tbl>
      <w:tblPr>
        <w:tblW w:w="77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6"/>
        <w:gridCol w:w="1754"/>
        <w:gridCol w:w="2083"/>
        <w:gridCol w:w="1907"/>
      </w:tblGrid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80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Annual Grant Performance Award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3990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Annual Grant Performance Award 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02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754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083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 (1)</w:t>
            </w:r>
          </w:p>
        </w:tc>
        <w:tc>
          <w:tcPr>
            <w:tcW w:w="1907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 (2)</w:t>
            </w:r>
          </w:p>
        </w:tc>
      </w:tr>
      <w:tr>
        <w:trPr/>
        <w:tc>
          <w:tcPr>
            <w:tcW w:w="20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56,100</w:t>
            </w:r>
          </w:p>
        </w:tc>
        <w:tc>
          <w:tcPr>
            <w:tcW w:w="1754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168,302</w:t>
            </w:r>
          </w:p>
        </w:tc>
        <w:tc>
          <w:tcPr>
            <w:tcW w:w="2083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7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RCS achievement for this award that vested in fiscal 2026 was in excess of the maximum goal, which resulted in the maximum vesting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for the RSUs (i.e., 200% of target) based on achievement of RCS performance-vesting criteria,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Company’s relative TSR achievement for this award that vested in fiscal 2026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RSUs (i.e. 200% of target)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on achievement of TSR performance-vesting criteria, and no shares being forfeited.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2023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2023, the Company issued to ZMC 96,734 time-based RSUs (such number determined by dividing $12,409,320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2023), all of which units vested as of June 1, 2026 (the “2023 Time-Based Award”).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2023, the Company issued to ZMC 392,800 performance-based RSUs (the “2023 Performance Award”),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representing the maximum number of performance-based RSUs that are eligible to vest (with the target number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performance-based RSUs of 196,400 based on $25,194,680 divided by the average of the closing prices of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common stock for each trading day during the 30 trading day period immediately prior to June 1, 2023). The 2023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 was divided into the following two categories based on the applicable performance-vesting criteria (as described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2023 Restricted Unit Agreement): Recurrent Consumer Spending Performance-Based Units and TSR Performance-Based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Units. The results and payout levels for the 2023 Performance Award, which vested or failed to vest, on June 1, 2026,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 follows:</w:t>
      </w:r>
    </w:p>
    <w:tbl>
      <w:tblPr>
        <w:tblW w:w="669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546"/>
        <w:gridCol w:w="1771"/>
        <w:gridCol w:w="1591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2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2023 Performance Award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3362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2023 Performance Award 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17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5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17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5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</w:tr>
      <w:tr>
        <w:trPr/>
        <w:tc>
          <w:tcPr>
            <w:tcW w:w="178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98,200</w:t>
            </w:r>
          </w:p>
        </w:tc>
        <w:tc>
          <w:tcPr>
            <w:tcW w:w="154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229,788</w:t>
            </w:r>
          </w:p>
        </w:tc>
        <w:tc>
          <w:tcPr>
            <w:tcW w:w="17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64,812</w:t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2024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3, 2024, the Company issued to ZMC 101,999 time-based RSUs (such number determined by dividing $15,073,410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3, 2024), 33,999 of which units vested on May 30, 2025, 34,000 of which units vested on June 1,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and the remainder will vest on June 1, 2027, provided that the 2022 Management Agreement has not been terminated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such dates (the “2024 Time-Based 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3, 2024, the Company issued to ZMC 414,180 performance-based RSUs (the “2024 Performance Award”),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representing the maximum number of performance-based RSUs that are eligible to vest (with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of 207,090 based on $30,603,590 divided by the average of the closing prices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for each trading day during the 30 trading day period immediately prior to June 3, 2024), which units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divided into two categories of vesting as follows: (i) on June 1, 2027, a number of Recurrent Consumer Spending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2024 Restricted Unit Agreement) will vest equal to the product of (x)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in such vesting tranche (51,773) multiplied by (y) the Recurrent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Spending Vesting Percentage (as defined the 2024 Restricted Unit Agreement) on March 31, 2027, which ranges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0% to 200%, and (ii) on June 1, 2027, a number of TSR Performance-Based Units (as defined in the 2024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will vest equal to the product of (x) the target number of TSR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(155,317) multiplied by (y) the TSR Vesting Percentage (as defined in the 2024 Restricted Unit Agreement) on March 31, 2027,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2025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2, 2025, the Company issued to ZMC 73,623 time-based RSUs (such number determined by dividing $16,604,940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2, 2025), 24,541 of which units vested on June 1, 2026, and the remainder will vest in equal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installments on June 1, 2027 and June 1, 2028, provided that the 2022 Management Agreement has not been terminated prior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such dates (the “2025 Time-Based Award”).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2, 2025, the Company issued to ZMC 298,954 performance-based RSUs (the “2025 Performance Award”),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representing the maximum number of performance-based RSUs that are eligible to vest (with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of 149,477 based on $33,713,060 divided by the average of the closing prices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for each trading day during the 30 trading day period immediately prior to June 2, 2025), which units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divided into two categories of vesting as follows: (i) on June 1, 2028, a number of Recurrent Consumer Spending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2025 Restricted Unit Agreement) will vest equal to the product of (x)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in such vesting tranche (37,369) multiplied by (y) the Recurrent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Spending Vesting Percentage (as defined the 2025 Restricted Unit Agreement) on March 31, 2028, which ranges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0% to 200%, and (ii) on June 1, 2028, a number of TSR Performance-Based Units (as defined in the 2025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will vest equal to the product of (x) the target number of TSR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(112,108) multiplied by (y) the TSR Vesting Percentage (as defined in the 2025 Restricted Unit Agreement) on March 31, 2028,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2026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2026, the Company issued to ZMC 65,199 time-based RSUs (such number determined by dividing $14,549,370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2026), which units will vest in equal installments on June 1, 2027, June 1, 2028 and June 1, 2029,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that the 2022 Management Agreement has not been terminated prior to such dates (the “2026 Time-Based Award,”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together with the 2022 New Deal Time-Based Awards, the 2023 Time-Based Award, the 2024 Time-Based Award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 Time-Based Award, the “Time-Based Awards”).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2026, the Company issued to ZMC 264,750 performance-based RSUs (the “2026 Performance Award,”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together with the 2022 New Deal Performance Awards, the 2023 Performance Award, the 2024 Performance Award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 Performance Award, the “Performance Awards”), representing the maximum number of performance-based RSUs that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to vest (with the target number of performance-based RSUs of 132,375 based on $29,539,630 divided by the average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closing prices of the Company’s common stock for each trading day during the 30 trading day period immediately prior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1, 2026), which units have been divided into two categories of vesting as follows: (i) on June 1, 2029, a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(as defined in the 2026 Restricted Unit Agreement) will vest equal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product of (x) the target number of Recurrent Consumer Spending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(33,094) multiplied by (y) the Recurrent Consumer Spending Vesting Percentage (as defined the 2026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on March 31, 2029, which ranges from 0% to 200%, and (ii) on June 1, 2029, a number of TSR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2026 Restricted Unit Agreement) will vest equal to the product of (x) the target number of TSR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Units in such vesting tranche (99,281) multiplied by (y) the TSR Vesting Percentage (as defined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 Restricted Unit Agreement) on March 31, 2029, 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Treatment of Awards on Termination or Change in Control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of the 2022 Management Agreement by the Company without Cause or by ZMC for Good Reason, or if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and ZMC fail to enter into a new management agreement on substantially similar terms in the aggregate as those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provided under the 2022 Management Agreement upon the expiration of the MA Term, or otherwise fail to agree to extend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 Term, any then-unvested Time-Based Awards will immediately vest in full, and any then-unvested Performance Awards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vest either (x) based on the assumption that the applicable performance measure was achieved at the target level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for the applicable performance period, or (y) prior to a Change in Control (as defined in the 2022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Agreement), solely for TSR Performance-Based Units (as defined in the applicable Restricted Unit Agreement), based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actual level of performance achieved as of the date of termination.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event that any portion of a Performance Award will not have vested as of the applicable performance vesting date,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of the 2022 Management Agreement by the Company for Cause or by ZMC without Good Reason, ZMC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forfeit to the Company any and all Restricted Units that have not vested as of such date. In addition, ZMC will forfeit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all then-unvested Time-Based Awards if the 2022 Management Agreement is terminated by the Company for Cause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by ZMC without Good Reason prior to the applicable time vesting date.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POLICY ON 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a Change in Control occurs during the MA Term, the 2022 Management Agreement will not automatically terminate and all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unvested RSUs granted pursuant to the applicable Restricted Unit Agreement will remain subject to the same vesting terms set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forth in the applicable Restricted Unit Agreement, except that Performance Awards will vest based on the assumption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performance measure was achieved at the target level of performance for the applicable performance period.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Settlement of Restricted Units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Management Agreement, the Company will have the right to elect to settle the RSUs granted to ZMC pursuant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Management Agreement in shares of the Company’s common stock that will be issued pursuant to the 2017 Plan.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Registration Statement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Management Agreement, within 45 days following the request of ZMC, the Company will file a Registration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 on Form S-3 registering for resale any of the shares of the Company’s common stock issuable pursuant to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granted to ZMC under the Restricted Unit Agreements. The Company most recently filed a registration statement on Form S-3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2026, covering such 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foregoing descriptions of the Management Agreement and the Restricted Unit Agreements (including the Time-Based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and the Performance Awards issuable to ZMC thereunder) are only a summary and are qualified in their entirety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reference to the full text of the 2017 Management Agreement (and the Restricted Unit Agreement attached as Exhibit A thereto),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is attached as Exhibit 10.1 to the Company’s Current Report on Form 8-K dated November 22, 2017 and incorporated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herein by reference, the 2022 Management Agreement, which is attached as Exhibit 10.1 to the Company’s Current Report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Form 8-K dated May 5, 2022 and incorporated herein by reference, the 2022 New Deal Restricted Unit Agreements, which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attached as Exhibits 10.3, 10.4 and 10.5 to the Company’s Quarterly Report on Form 10-Q dated August 9, 2022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reference, the 2023 Restricted Unit Agreement, which is attached as Exhibit 10.2 to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Registration Statement on Form S-3 dated June 1, 2023 and incorporated herein by reference, the 2024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Agreement, which is attached as Exhibit 10.2 to the Company’s Registration Statement on Form S-3 dated June 3, 2024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reference, the 2025 Restricted Unit Agreement, which is attached as Exhibit 10.2 to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Registration Statement on Form S-3 dated June 2, 2025 and incorporated herein by reference, and the 2026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Agreement, which is attached as Exhibit 10.2 to the Company’s Registration Statement on Form S-3 dated June 1, 2026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Policy on 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has adopted a policy requiring that any transaction: (1) involving the Company or any of its subsidiaries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(2) in which one of our directors, nominees for director, executive officers, or greater than five percent shareholders, or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 family members, have a direct or indirect material interest; be approved or ratified by a majority of the independent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of the full Board of 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determining whether to approve or ratify any such transaction, the independent directors of the Board of Directors must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consider, in addition to other factors deemed appropriate, whether the transaction is on terms no less favorable to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those for transactions involving unrelated parties. No director may participate in any review, approval or ratification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transaction if the director, or an immediate family member of such director, has a direct or indirect material interest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transaction.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we were not a participant in any financial transaction, arrangement or relationship in which a related person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had or will have a direct or indirect material interest, in an amount exceeding $120,000, except for the transactions described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above with ZMC, which the independent directors of the Board of Directors had previously reviewed, approved and ratified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accordance with its policy on transactions with related persons.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SECTION 16(A) BENEFICIAL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OWNERSHIP COMPLIANCE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members of our Board of Directors, our executive officers and persons who beneficially own more than 10%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outstanding common stock are subject to the reporting requirements of Section 16(a) of the Securities Exchange Act of 1934,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amended, which requires them to file reports with respect to their ownership of our common stock and their transactions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common stock. Based solely upon a review of the copies of Section 16(a) reports that we have received from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persons or entities for transactions in our common stock and their common stock holdings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we believe that all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reporting requirements under Section 16(a) for such fiscal year were met in a timely manner by our directors, executive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persons who beneficially own more than 10% of our outstanding common stock.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3: VOTE TO APPROVE A CERTIFICATE OF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AMENDMENT TO THE RESTATED CERTIFICATE OF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INCORPORATION OF THE COMPANY TO LIMIT THE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LIABILITY OF CERTAIN OFFICERS AS PERMITTED BY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DELAWARE LAW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BACKGROUND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 August 1, 2022, Section 102(b)(7) of the Delaware General Corporation Law (“</w:t>
      </w:r>
      <w:r>
        <w:rPr>
          <w:rFonts w:ascii="Arial;sans-serif" w:hAnsi="Arial;sans-serif"/>
          <w:b/>
          <w:i/>
          <w:sz w:val="18"/>
          <w:u w:val="single"/>
        </w:rPr>
        <w:t>DGCL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 was amended (“Amended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102(b)(7)”) to enable a corporation to include in its certificate of incorporation a provision exculpating certain corporate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liability for breach of the fiduciary duty of care in certain circumstances. Previously, Section 102(b)(7) of the DGCL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provided for exculpation for directors only. Under Amended 102(b)(7),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 may be exculpated include a person who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(i) is the president, chief executive officer, chief operating officer, chief financial officer, chief legal officer, controller, treasurer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chief accounting officer of the corporation at any time during the course of conduct alleged in the action or proceeding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wrongful, (ii) is or was identified in the corporation's public filings with the SEC because such person is or was one of the most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highly compensated executive officers of the corporation at any time during the course of conduct alleged in the action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proceeding to be wrongful, or (iii) has consented to be identified as an officer for purposes of accepting service of process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Delaware by written agreement (the “</w:t>
      </w:r>
      <w:r>
        <w:rPr>
          <w:rFonts w:ascii="Arial;sans-serif" w:hAnsi="Arial;sans-serif"/>
          <w:b/>
          <w:i/>
          <w:sz w:val="18"/>
          <w:u w:val="single"/>
        </w:rPr>
        <w:t>Covered Officers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due consideration of the amendments to the DGCL and the desire to remain competitive in the market for top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officers, on July 15, 2026, the Corporate Governance Committee recommended the Board of Directors adopt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to the Take-Two Restated Certificate of Incorporation (the “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Officer Exculpation Amendment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 On July 16, 2026,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recommendation of the Corporate Governance Committee, the Board of Directors approved the Officer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Exculpation Amendment, subject to shareholder approval. The Board of Directors has determined that the Officer Exculpation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is advisable and in the best interests of the Company and our shareholders, and unanimously recommends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approve the Officer Exculpation Amendment for the reasons set forth below.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SUMMARY OF CHANGES IN THE OFFICER EXCULPATION AMENDMENT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proposed Officer Exculpation Amendment would allow for the exculpation of our officers to the fullest extent permitted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DGCL, as it currently exists or as it may hereafter be amended. This means that the proposed Officer Exculpation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Amendment would allow for the exculpation of Covered Officers only in connection with direct claims brought by shareholders,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including class actions, but would not eliminate officers’ monetary liability for breach of fiduciary duty claims brought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itself or for derivative claims brought by shareholders in the name of the Company. Further, the Officer Exculpation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Amendment would not limit the liability of officers for any breach of the duty of loyalty to the Company or its shareholders,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acts or omissions not in good faith or which involve intentional misconduct or a knowing violation of the law, or any transaction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which the officer derived an improper personal benefit.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consistent with the language for exculpation of directors currently included in Article VI of the Restated Certificate,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proposed Officer Exculpation Amendment provides that if at any time after it becomes effective, the DGCL is amended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authorize any further elimination or limitation of the personal liability of a corporation’s officers (including any change in the roles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deemed to be Covered Officers for purposes of Section 102(b)(7) of the DGCL), then such liability shall automatically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eliminated or limited to the fullest extent permitted by the DGCL, as so amended, with respect to the Company’s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(including with respect to any new role newly deemed to be a Covered Officer for purposes of Section 102(b)(7)).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foregoing description is a summary and is qualified in its entirety by the full text of the proposed Officer Exculpation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included in Annex B attached to this Proxy Statement and the pertinent provisions of the DGCL.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 xml:space="preserve">PROPOSAL 3: VOTE TO APPROVE A CERTIFICATE OF AMENDMENT TO THE RESTATED CERTIFICATE OF INCORPORATION OF THE COMPANY TO LIMIT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LIABILITY OF CERTAIN OFFICERS AS PERMITTED BY DELAWARE LAW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RECOMMENDATION OF THE BOARD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approving the Officer Exculpation Amendment and recommending it for approval by our shareholders, our Board of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considered the narrow class and type of claims to which it applies, the limited number of officers that are covered by it, and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benefits our Board of Directors believes would accrue to the Company from providing officer exculpation.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When considering the recommendation of the Board of Directors that our shareholders approve this proposal, our shareholders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should be aware that the Covered Officers of the Company have interests in the proposal that may be different from,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 to, the interests of our shareholders more generally because they will receive the liability exculpation protections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afforded by the proposed Officer Exculpation Amendment if it is adopted. The Board was aware of these interests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considered them, among other matters, in reaching its decision to approve the Officer Exculpation Amendment. The Officer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Exculpation Amendment is not being proposed in response to any specific resignation, threat of resignation or refusal to serve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any officer.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Board of Directors believes that adopting the Officer Exculpation Amendment is in the best interests of the Company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its shareholders. Since the amendments to the DGCL took effect, an increasing number of companies with whom we compete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executive talent have adopted similar exculpation provisions, and we expect this trend to continue. Failing to adopt officer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exculpatory protections could negatively impact our ability to compete with these companies in recruiting and retaining qualified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 candidates as these candidates might be deterred from serving as officers of the Company due to concerns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potential exposure to personal liability. By nature of the role, officers often must make decisions on crucial matters, more often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than not, in response to time-sensitive opportunities and challenges, which can create substantial risk of investigations, claims,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actions, suits, or proceedings seeking to impose individual liability based on hindsight. This risk has become particularly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pronounced in the current litigious environment where there has been a trend of plaintiffs naming officers as defendants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 litigation. As a result, candidates may consider whether the potential exposure to personal liability or other risks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outweigh the benefits of serving as an officer. Accordingly, adopting the Officer Exculpation Amendment could potentially reduce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litigation costs associated with frivolous lawsuits while also better positioning the Company to attract and retain top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 candidates.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these reasons, our Board of Directors determined that it is advisable and in the best interests of the Company 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to amend Article VI of our Restated Certificate to add the liability protection afforded by Amended 102(b)(7)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Covered Officers.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our shareholders approve the Officer Exculpation Amendment, our Board of Directors has authorized our officers to file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Certificate of Amendment to the Take-Two Restated Certificate of Incorporation with the Delaware Secretary of State, which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anticipate doing as soon as practicable following shareholder approval of the Officer Exculpation Amendment at the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Meeting, and the Officer Exculpation Amendment would become effective upon acceptance by the Delaware Secretary of State.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our shareholders do not approve the Officer Exculpation Amendment, the Company’s current exculpation provisions relating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directors will remain in place, and the Certificate of Amendment will not be filed with the Delaware Secretary of State.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VOTE REQUIRED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this Proposal 3, a “FOR” vote from the majority of outstanding shares entitled to vote on the proposal will be required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approval. Voting “ABSTAIN” or broker non-votes on this Proposal 3 will have the same effect as voting “AGAINST.”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9001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92" name="Image2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2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7" w:name="i-292"/>
            <w:bookmarkEnd w:id="297"/>
          </w:p>
        </w:tc>
        <w:tc>
          <w:tcPr>
            <w:tcW w:w="90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BOARD OF DIRECTORS UNANIMOUSLY RECOMMENDS A VOTE 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 OF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CERTIFICATE OF AMENDMENT TO THE RESTATED CERTIFICATE OF INCORPORATION OF TAKE-TWO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INTERACTIVE SOFTWARE, INC. TO LIMIT THE LIABILITY OF CERTAIN OFFICERS AS PERMITTED BY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DELAWARE LAW.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4: RATIFICATION OF APPOINTMENT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OF INDEPENDENT REGISTERED PUBLIC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ACCOUNTING FIRM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Audit Committee of the Board of Directors has appointed Ernst &amp; Young LLP (“Ernst &amp; Young”) as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registered public accounting firm to audit its consolidated financial statements for its fiscal year ending March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2027. Although action by the shareholders on this matter is not required, the Audit Committee believes it is appropriate to seek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ratification of the appointment of the independent registered public accounting firm to provide a forum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express their views with regard to the Audit Committee’s appointment. If the shareholders do not ratify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 &amp; Young, the selection of independent registered public accounting firms may be reconsidered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Committee; provided, however, that the Audit Committee retains the right to continue to engage Ernst &amp; Young.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addition, notwithstanding the ratification of Ernst &amp; Young as the Company’s independent registered public accounting firm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fiscal year ending March 31, 2027, the Audit Committee retains the right to replace Ernst &amp; Young at any time without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 approval.</w:t>
      </w:r>
    </w:p>
    <w:tbl>
      <w:tblPr>
        <w:tblW w:w="9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9316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93" name="Image2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Image2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8" w:name="i-293"/>
            <w:bookmarkEnd w:id="298"/>
          </w:p>
        </w:tc>
        <w:tc>
          <w:tcPr>
            <w:tcW w:w="9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BOARD OF DIRECTORS BELIEVES THAT RATIFICATION OF THE APPOINTMENT OF ERNST &amp; YOUNG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LLP IS IN THE BEST INTERESTS OF THE COMPANY AND UNANIMOUSLY RECOMMENDS THAT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SHAREHOLDERS VOTE 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SUCH RATIFICATION.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INDEPENDENT REGISTERED PUBLIC ACCOUNTANTS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Ernst &amp; Young has been the Company’s independent registered public accounting firm and has audited the Company’s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since April 2006. In selecting the Company’s independent registered public accounting firm, the Audit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assesses the firm’s qualifications and performance; the quality and candor of their communications with the Audit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Company; independence; objectivity, and professionalism; benefits of audit firm or lead partner rotations;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comprehensiveness of evaluations of internal controls. The Audit Committee also considers the relative costs, benefits,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challenges, and other potential impacts of selecting a different independent public accounting firm. The Company has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advised that representatives of Ernst &amp; Young will be present at the Annual Meeting with the opportunity to make a statement if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representatives desire to do so. It is expected that the representatives will be available to respond to appropriate questions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relating to the Company’s financial statements.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Pre-Approval Policies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its charter, the Audit Committee is responsible for reviewing and pre-approving all audit and non-audit services.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reviewing and approving audit and non-audit service fees, the Audit Committee considers a number of factors, including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scope and quality of work, as well as an assessment of the impact on auditor independence of non-audit fees and services.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 may delegate pre-approval authority to the chair or another member of the Audit Committee, in which case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such approval must be presented to the full Audit Committee at its next scheduled meeting. The Audit Committee pre-approved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 audit, audit-related and tax services provided by Ernst &amp; Young for the recently completed fiscal year.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Lead Audit Partner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SEC rules, audit partners are subject to rotation requirements to limit the number of consecutive years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partner may provide service to our Company. For lead audit partners, the maximum number of consecutive years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 in that capacity is five years. The process for consideration and selection of the Company’s lead audit partner pursuant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this rotation policy involves a comprehensive interview process in which management and the chair of the Audit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 participate.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Independent Auditor Fee Information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for professional services provided by Ernst &amp; Young in each of the last two fiscal years, in each of the following categories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related expenses are set forth below. The Audit Committee believes that the professional services performed by Ernst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&amp; Young were compatible with maintaining Ernst &amp; Young’s independence.</w:t>
      </w:r>
    </w:p>
    <w:tbl>
      <w:tblPr>
        <w:tblW w:w="33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16"/>
        <w:gridCol w:w="916"/>
        <w:gridCol w:w="961"/>
      </w:tblGrid>
      <w:tr>
        <w:trPr/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3/31/2026</w:t>
            </w:r>
          </w:p>
        </w:tc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3/31/2025</w:t>
            </w:r>
          </w:p>
        </w:tc>
      </w:tr>
      <w:tr>
        <w:trPr/>
        <w:tc>
          <w:tcPr>
            <w:tcW w:w="15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Audit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$4,049,000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$5,767,000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Audit-related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Tax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1,380,000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1,661,000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fees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$5,437,000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$7,436,000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(1)Audit fees were for audit services, including (a) the annual audit (including required quarterly reviews), subsidiary audits and other procedures required to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performed by the independent auditor to be able to form an opinion on the Company’s consolidated financial statements, (b) the audit of the effectiveness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internal control over financial reporting, (c) consultation with management as to the accounting or disclosure treatment of transactions or events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and/or the actual or potential impact of final proposed rules, standards or interpretations by the SEC, the Financial Accounting Standards Board or other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regulatory or standard-setting bodies, (d) international statutory audits, and (e) services that only the independent auditor reasonably can provide, such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services associated with SEC registration statements, periodic reports and other documents filed with the SEC or other documents issued in connection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securities offerings and assistance in responding to SEC comment letters.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(2)Audit-related fees consist of fees billed for assurance and related services that are reasonably related to the performance of the audit or review of our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statements and not reported under “Audit Fees.”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(3)Tax fees were for services related to (a) tax compliance (including the preparation, review and filing of tax returns) and advice and (b) tax planning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tax advice.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REPORT OF THE AUDIT COMMITTEE OF THE BOARD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Notwithstanding anything to the contrary set forth in any of our previous or future filings under the Securities Act of 1933 or the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Securities Exchange Act of 1934 that might incorporate this Proxy Statement or future filings with the SEC, in whole or in part,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following report shall not be deemed to be “soliciting material” or “filed” with the SEC and shall not be deemed to be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incorporated by reference into any such filing.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Review of the Company’s Audited Financial Statements for the Fiscal Year Ended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March 31,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oversees the Company’s financial reporting process on behalf of the Board of Directors.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has the primary responsibility for the financial statements, for maintaining effective internal control over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reporting and for assessing the effectiveness of internal control over financial reporting. In fulfilling its oversight responsibilities,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reviewed and discussed the audited consolidated financial statements included in the Annual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Form 10-K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with Company management, including a discussion of the quality, not just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acceptability, of the accounting principles; the reasonableness of significant judgments; and the clarity of disclosures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financial statements.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reviewed with the independent registered public accounting firm, which is responsible for expressing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opinion on the conformity of those audited consolidated financial statements with U.S. generally accepted accounting principles,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its judgments as to the quality, not just the acceptability, of the Company’s accounting principles and such other matters as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required to be discussed with the Audit Committee by the applicable requirements of the Public Company Accounting Oversight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(United States) (“PCAOB”) rules of the SEC, and other applicable regulations. In addition, the Audit Committee has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received the written disclosures and the letter from the independent registered public accounting firm required by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requirements of the PCAOB regarding the independent registered public accounting firm’s communications with the Audit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Committee concerning independence, and has discussed with the independent registered public accounting firm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independent registered public accounting firm’s independence.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also reviewed management’s report on its assessment of the effectiveness of the Company’s internal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 over financial reporting and the independent registered public accounting firm’s report on the effectiveness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internal control over financial reporting.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discussed with the Company’s internal auditors and independent registered public accounting firm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overall scope and plans for their respective audits. The Audit Committee meets with the internal auditors and the independent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registered public accounting firm, with and without management present, to discuss the results of their examinations,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evaluations of the Company’s internal control, including internal control over financial reporting, and the overall quality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financial reporting.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reliance on the reviews and discussions referred to above, the Audit Committee recommended to the Board of Directors,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approved, that the audited consolidated financial statements and management’s assessment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effectiveness of the Company’s internal control over financial reporting be included in the Annual Report on Form 10-K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ended March 31, 2026, filed by the Company with the SEC. The Audit Committee also has appointed Ernst &amp; Young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the Company’s independent registered public accounting firm for the fiscal year ending March 31, 2027.</w:t>
      </w:r>
    </w:p>
    <w:tbl>
      <w:tblPr>
        <w:tblW w:w="70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5296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Dated: July __, 2026</w:t>
            </w:r>
          </w:p>
        </w:tc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Submitted by the Audit Committee of the Board of Directors: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Susan Tolson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Ellen Siminoff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Paul Viera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CAUTIONARY NOTE ABOUT FORWARD-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LOOKING STATEMENTS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statements contained in this Proxy Statement which are not historical facts, including statements relating to the Company’s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outlook, are considered forward-looking statements under federal securities laws and may be identified by words such as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anticipates,” “believes,” “estimates,” “expects,” “intends,” “plans,” “potential,” “predicts,” “projects,” “seeks,” “should,” “will,” or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words of similar meaning and include, but are not limited to, statements regarding the outlook for the Company’s future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business and financial performance. Such forward-looking statements are based on the current beliefs of our management as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well as assumptions made by and information currently available to them, which are subject to inherent uncertainties, risks and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changes in circumstances that are difficult to predict. Actual outcomes and results may vary materially from these forward-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looking statements based on a variety of risks and uncertainties including: risks relating to the timely release and significant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market acceptance of our games; the risks of conducting business internationally, including as a result of unforeseen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geopolitical events; the impact of changes in interest rates by the Federal Reserve and other central banks, including on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short-term investment portfolio; the impact of inflation; volatility in foreign currency exchange rates; our dependence on key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management and product development personnel; our dependence on our NBA 2K and Grand Theft Auto products and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ability to develop other hit titles; our ability to leverage opportunities on PlayStation</w:t>
      </w:r>
      <w:r>
        <w:rPr>
          <w:rFonts w:ascii="Arial;sans-serif" w:hAnsi="Arial;sans-serif"/>
          <w:b w:val="false"/>
          <w:i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5 and Xbox Series X|S; factors affecting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mobile business, such as player acquisition costs; and the ability to maintain acceptable pricing levels on our games. Other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important factors and information are contained in the Company’s most recent Annual Report on Form 10-K, including the risks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summarized in the section titled “Risk Factors,” and the Company’s other periodic filings with the SEC, which can be accessed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at www.take2games.com. All forward-looking statements are qualified by these cautionary statements and speak only as of the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date they are made. The Company undertakes no obligation to update any forward-looking statement, whether as a result of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new information, future events or otherwise.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INFORMATION ABOUT THE ANNUAL MEETING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matters will be considered at the Annual Meeting?</w:t>
      </w:r>
    </w:p>
    <w:tbl>
      <w:tblPr>
        <w:tblW w:w="99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31"/>
      </w:tblGrid>
      <w:tr>
        <w:trPr/>
        <w:tc>
          <w:tcPr>
            <w:tcW w:w="9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election as directors of the 10 nominees named in the attached Proxy Statement;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approval, on a non-binding advisory basis, of the compensation of the Company’s “named executive officers”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disclosed in this Proxy Statement;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 of a certificate of amendment to the Restated Certificate of Incorporation of Take-Two Interactive Software,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Inc. to limit the liability of certain officers as permitted by Delaware law;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ratification of the appointment of Ernst &amp; Young LLP as our independent registered public accounting firm for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fiscal year ending March 31, 2027; and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such other business that may properly come before the Annual Meeting or any adjournment thereof.</w:t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does the Board of Directors recommend that shareholders vote on these matters?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that the election of the nominated directors, the approval on an advisory basis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of the named executive officers, the 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Inc., and the ratification of the appointment of Ernst &amp; Young as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registered public accounting firm are in the best interests of the Company and its shareholders and, accordingly,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recommends a vote “FOR” for each of these proposals.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is entitled to vote?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of record as of the close of business on July 23,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(the “Record Date”) are entitled to attend and vote 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Meeting. Each shareholder is entitled to one vote for each share of common stock held on each matter submitted to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 at the Annual Meeting.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Why did I receive a one-page notice in the mail regarding the Internet availability of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proxy materials instead of a full set of proxy materials?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rules of the SEC permit us to make our proxy materials available to beneficial owners of our stock electronically over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Internet without mailing printed copies of the proxy materials. Accordingly, we are sending a Notice of Internet Availability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Materials (</w:t>
      </w:r>
      <w:r>
        <w:rPr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Notice of Internet Availability”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 to our beneficial owners. All beneficial owners will have the ability to access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materials, including this Proxy Statement and our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Report, on the website referred to in the Notice of Internet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Availability or to request a printed set of the proxy materials. Instructions on how to access the proxy materials over the Internet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how to request a printed copy can be found in the Notice of Internet Availability. In addition, beneficial owners may request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 proxy materials in printed form by mail or electronically by email on an ongoing basis. Conversely, if your shares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registered directly with Equiniti Trust Company LLC, you will not receive a Notice of Internet Availability, and instead will receive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full copy of the Proxy Statement and Annual Report.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What does it mean if I receive more than one Notice of Internet Availability or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proxy card?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 may mean that you hold shares registered in more than one account. Follow the voting instructions provided on each Notice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Internet Availability that you received to ensure that all of your shares are voted. If you received paper proxy cards, sign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return all proxy cards to ensure that all of your shares are voted. You may call Equiniti Trust Company LLC at 1-800-937-5449 if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 have any questions regarding the share information or your address appearing on the paper proxy card.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 I vote?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You can vote by proxy over the Internet by following the instructions provided in the Notice of Internet Availability.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you received a full set of proxy materials and your shares are registered directly with Equiniti Trust Company LLC, you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vote via the Internet at www.proxyvote.com. Although we encourage you to vote via the Internet, you may also sign and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paper proxy card you receive and return it in the prepaid envelope; the paper proxy card also contains instructions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voting by telephone. The enclosed proxy will be voted in accordance with the instructions thereon. Unless otherwise stated,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shares represented by such proxy will be voted as instructed. Proxies may be revoked in the manner described above.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you hold your shares through a stockbroker, nominee, fiduciary or other custodian you may also be able to vote through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program provided through Broadridge Financial Solutions (“Broadridge”) that offers Internet voting options. If your shares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held in an account at a brokerage firm or bank participating in the Broadridge program, you are offered the opportunity to elect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vote via the Internet. Votes submitted via the Internet through the Broadridge program must be received by 11:59 p.m.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(Eastern Time) on September 16, 2026.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happens if I do not give specific voting instructions?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For Shares Directly Registered in the Name of the Shareholder: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you return your signed proxy but do not indicate your voting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preferences, the Company will vote on your behalf “FOR” the election of the nominated directors, “FOR” the approval on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advisory basis of the compensation of the named executive officers, “FOR” a certificate of amendment to the Restated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Certificate of Incorporation, and “FOR” the ratification of the appointment of Ernst &amp; Young. If any other matter properly comes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before the shareholders for a vote at the Annual Meeting, the proxy holders will vote your shares in accordance with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best judgment.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For Shares Registered in the Name of a Brokerage Firm or Bank: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your shares are held in street name, your broker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 will ask you how you want your shares to be voted. If you provide voting instructions, your shares must be voted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 direct. If you do not furnish voting instructions, one of two things can happen, depending upon whether a proposal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routine.” Under the rules that govern brokers that have record ownership of shares beneficially owned by their clients, brokers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discretion to cast votes on routine matters, such as the ratification of the appointment of independent registered public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firms, without voting instructions from their clients. Brokers are not permitted, however, to cast votes on “non-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routine” matters, such as the election of directors, the non-binding advisory vote to approve the compensation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“named executive officers” as disclosed in this Proxy Statement, and the approval of a certificate of amendment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Restated Certificate of Incorporation, without such voting instructions. A “broker non-vote” occurs when a broker holding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for a beneficial owner does not vote on a particular proposal because the broker does not have discretionary voting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power for that proposal and has not received voting instructions from the beneficial owner.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is an abstention?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abstention is a properly signed proxy card that is marked “abstain” or properly completed instructions via the Internet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same effect.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 I sign the paper proxy card?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 your name exactly as it appears on the proxy card. If you are signing in a representative capacity (for example,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attorney, executor, administrator, guardian, trustee or the officer or agent of a company), you should indicate your name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title or capacity. If the stock is held in custody for a minor (for example, under the Uniform Transfers to Minors Act),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custodian should sign the proxy card, not the minor. If the stock is held in joint ownership, both owners must sign.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May I attend the Annual Meeting via the Internet? May I vote my shares at the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Annual Meeting?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may attend our Annual Meeting via the Internet at www.virtualshareholdermeeting.com/TTWO2026. Shareholders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not be able to attend the Annual Meeting in person.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Access to the Annual Meeting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live audio webcast of the Annual Meeting will begin promptly at 9:00 a.m. Eastern Time. Online access to the audio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webcast will open approximately 15 minutes prior to the start of the Annual Meeting to allow time for our shareholders to log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test their devices’ audio system. We encourage our shareholders to access the meeting in advance of the designated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start 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Log-in Instructions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attend the Annual Meeting, shareholders will need to log-in to www.virtualshareholdermeeting.com/TTWO2026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16-digit control number on the Notice of Internet Availability or proxy card.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Submitting Questions and Voting at the Annual Meeting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may submit questions relevant to the business of the Annual Meeting and vote on the day of, or during,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on www.virtualshareholdermeeting.com/TTWO2026. To demonstrate proof of stock ownership, you will need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 the 16-digit control number received with your Notice of Internet Availability or proxy card to submit questions and vote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Annual Meeting. We intend to answer questions submitted during the meeting that are pertinent to the items being brought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before shareholder vote at the Annual Meeting, as time permits, and in accordance with the rules of conduct for the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Meeting. To ensure that the Annual Meeting is conducted in a manner that is fair to all shareholders, the chair of the meeting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 exercise broad discretion in recognizing shareholders who wish to participate, the order in which questions are asked,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amount of time devoted to any one question. We reserve the right to edit or reject questions we deem inappropriate.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While all shareholders can vote during the Annual Meeting as described above, we encourage you to vote by proxy card 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Internet in advance even if you plan to attend the meeting so that your vote will be counted if you later decide not to attend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Technical Assistance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have retained Broadridge to host our virtual annual meeting and to distribute, receive, count and tabulate proxies.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day of our Annual Meeting, our support team at Broadridge will be available to answer your questions regarding how to attend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participate at our Annual Meeting via the Internet or if you encounter any technical difficulty accessing or during the virtual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meeting, in each case by calling the technical support number that will be posted on the virtual annual meeting log-in page.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 xml:space="preserve">Your attendance at the Annual Meeting in and of itself will not automatically revoke a proxy that 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submitted via the Internet or telephone or by mail.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will count the votes?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representative of Broadridge will tabulate the votes and act as independent inspector of election.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constitutes a quorum?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holders of a majority of the outstanding shares of common stock on the Record Date present in person or represented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constitutes a quorum for the Annual Meeting. As of the close of business on the Record Date, [__________]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were issued and outstanding. Subject to the rules regarding the votes necessary to adopt the proposals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discussed below, abstentions and broker non-votes (as described above) will be counted for purposes of determining whether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quorum is present. Once a share is represented for any purpose at the Annual Meeting, it will be deemed present for quorum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for the remainder of the Annual Meeting (including any meeting resulting from an adjournment or postponement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Meeting, unless a new record date is set).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vote is needed to approve the matters to be presented at the Annual Meeting?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an uncontested election for directors, a director shall be elected at the Annual Meeting if the number of votes that are cast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FOR” his or her election by holders of the stock present in person or represented by proxy entitled to vote on the election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exceeds the number of votes cast “AGAINST” his or her election by such holders. The Company’s bylaws provide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incumbent nominee for director who fails to meet this standard shall promptly tender the individual’s resignation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 for consideration following certification of the shareholder vote. See above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heading “Election of Directors (Proposal 1)—Policy on Majority Voting for Directors.” A “FOR” vote by the holders of a majority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shares present in person or represented by proxy and entitled to vote is required: to approve, on a non-binding advisory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basis, the compensation of the Company’s “named executive officers” as disclosed in this Proxy Statement; to ratify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 &amp; Young; and to approve any shareholder proposal. A “FOR” vote by holders of a majority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outstanding shares of our common stock entitled to vote at the annual meeting is required to approve the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to the Take-Two Restated Certificate of Incorporation. For purposes of determining approval of a matter presented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the Annual Meeting, abstentions will be deemed present and entitled to vote (but not cast). As such, an abstention will (i)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no effect on the director election proposal and (ii) have the effect of a vote “against” the proposals: to approve, on a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binding advisory basis, the compensation of the Company’s “named executive officers”; to ratify the appointment of Ernst &amp;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Young; and to approve any shareholder proposal. For all proposals other than the approval of the certificate of amendment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Take-Two Restated Certificate of Incorporation and the ratification of the appointment of Ernst &amp; Young, broker non-votes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have no effect because they are not deemed present and entitled to vote on the matter; brokers will have discretion to cast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votes on the appointment of Ernst &amp; Young. If a shareholder fails to vote, fails to instruct its bank, broker, or other nominee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 with respect to the proposal to amend the Take-Two Restated Certificate of Incorporation, or abstains from voting, it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the same effect as a vote “against” the proposal to amend the Take-Two Restated Certificate of Incorporation. Both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abstentions and broker non-votes will be counted for purposes of determining whether a quorum is present.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Will any other matters be acted on at the Annual Meeting?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any other matters are properly presented at the Annual Meeting or any adjournment, the persons named in the proxy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discretion to vote on those matters. As of the date by which shareholder proposals must have been received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to be presented at the Annual Meeting, and as of the date of this Proxy Statement, the Company did not know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matters to be presented at the Annual Meeting.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pays for this proxy solicitation?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will bear the entire cost of soliciting proxies, including the costs of preparing, assembling, printing and mailing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Statement, the proxy and any additional soliciting material furnished to shareholders. The Company has retained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MacKenzie Partners, Inc., a proxy solicitation firm, to solicit proxies for a fee of $20,000, plus reimbursement of its out-of-pocket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Arrangements will be made with brokerage houses and other custodians, nominees and fiduciaries to send proxies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proxy materials to the beneficial owners of stock, and these entities may be reimbursed by the Company for their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Proxies also may be solicited by directors, officers or employees of the Company in person or by telephone, e-mail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other means. No additional compensation will be paid to such individuals for these services.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may I communicate with the Board of Directors?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wishing to send communications to the Board of Directors individually or as a group may do so by writing to: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of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 New York 10036, Attention: Investor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Relations. You should identify your communication as being from a shareholder of the Company. The Company may require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reasonable evidence that your communication or other submission is made by a shareholder of the Company before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transmitting your communication to the Board of Directors.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AVAILABILITY OF CERTAIN DOCUMENTS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Householding of Annual Meeting materials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Some banks, brokers and other nominee record holders may participate in the practice of “householding” Proxy Statements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their accompanying documents and/or Notices of Internet Availability. This means that only one copy of our Proxy Statement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and/or Notice of Internet Availability is sent to multiple shareholders in your household. We will promptly deliver a separate copy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these documents without charge to you upon written request to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York, New York 10036, Attn: Investor Relations; our main telephone number is (646) 536-2842. If you want to receive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 copies of our Proxy Statements and/or Notice of Internet Availability in the future, or if you are receiving multiple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copies and would like to receive only one copy per household, you should contact your bank, broker or other nominee record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holder, or you may contact us at the above address.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Additional information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are required to file annual, quarterly and current reports, Proxy Statements and other reports with the SEC. Copies of these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filings are available through our Internet website at www.take2games.com or the SEC’s website at www.sec.gov. We will furnish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copies of our SEC filings (without exhibits), including our Annual Report on Form 10-K for the fiscal year ended March 31,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without charge to any shareholder upon written request to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York 10036, Attn: Investor Relations.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NO INCORPORATION BY REFERENCE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its filings with the SEC, the Company sometimes “incorporates by reference” certain information. This means that we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referring you to information that has previously been filed with the SEC and the information should be considered as part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particular filing. As provided under SEC regulations, the “Report of the Audit Committee of the Board of Directors” and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of the Compensation Committee of the Board of Directors” contained in this Proxy Statement specifically are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incorporated by reference into any other filings with the SEC and shall not be deemed to be “soliciting material.”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SHAREHOLDER PROPOSALS FOR NEXT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ANNUAL MEETING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Company currently anticipates holding its Annual Meeting of Shareholders for its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ending March 31, 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September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The Company’s bylaws require that, for nominations of directors or other business to be properly brought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before an Annual Meeting, written notice of such nomination or proposal for other business must be delivered to the Secretary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Company at the Company’s principal executive offices at Take-Two Interactive Software, Inc., 110 West 44th Street,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York, New York 10036, Attn: Corporate Secretary. Such notice must contain certain information concerning the nominating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proposing shareholder and, as applicable, certain information concerning the nominee and must be delivered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shareholder (who must be entitled to vote at the meeting), in the case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Shareholders, no earlier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20, 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no later 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19, 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Such notice must contain the information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the Company’s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bylaws, including the information required by Rule 14a-19 of the Exchange Act in the case of a shareholder who intends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solicit proxies in compliance with such rule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copy of the applicable provisions of the Bylaws may be obtained by any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shareholder, without charge, upon written request to the Secretary of the Company at the address set forth above.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addition to the foregoing, and in accordance with the rules of the SEC, in order for a shareholder proposal, relating to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proper subject, to be considered for inclusion in the Company’s proxy statement and form of proxy relating to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 of Shareholders, such proposal must be received by the Secretary of the Company at the address set forth above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later than April 5, 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form required under and subject to the other requirements of the applicable rules of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is aware of no other matter, except for those incident to the conduct of the Annual Meeting, that are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 presented to shareholders for formal action at the Annual Meeting. If, however, any other matter properly comes before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or any adjournment thereof, it is the intention of the persons named in the proxy to vote the proxy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accordance with their judgment.</w:t>
      </w:r>
    </w:p>
    <w:tbl>
      <w:tblPr>
        <w:tblW w:w="50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"/>
        <w:gridCol w:w="4636"/>
      </w:tblGrid>
      <w:tr>
        <w:trPr/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A-1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ANNEX A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Reconciliation of GAAP Net Income to Adjusted EBITDA</w:t>
      </w:r>
    </w:p>
    <w:tbl>
      <w:tblPr>
        <w:tblW w:w="68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06"/>
        <w:gridCol w:w="1606"/>
      </w:tblGrid>
      <w:tr>
        <w:trPr/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(in millions)</w:t>
            </w:r>
          </w:p>
        </w:tc>
        <w:tc>
          <w:tcPr>
            <w:tcW w:w="16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Fiscal Year Ended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March 31, 2026</w:t>
            </w:r>
          </w:p>
        </w:tc>
      </w:tr>
      <w:tr>
        <w:trPr/>
        <w:tc>
          <w:tcPr>
            <w:tcW w:w="52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GAAP Net Loss</w:t>
            </w:r>
          </w:p>
        </w:tc>
        <w:tc>
          <w:tcPr>
            <w:tcW w:w="16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$(298.2)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effect from deferral in net revenues and related cost of goods sold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$68.0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Stock-based compensation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$305.3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Business reorganization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$(4.4)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Business acquisitions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$14.7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Interest expense (income)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$66.3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Depreciation and amortization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$198.5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Amortization and impairment of intangible assets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$693.6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$247.8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Income taxes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$100.4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</w:t>
            </w:r>
          </w:p>
        </w:tc>
        <w:tc>
          <w:tcPr>
            <w:tcW w:w="16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$9.6</w:t>
            </w:r>
          </w:p>
        </w:tc>
      </w:tr>
      <w:tr>
        <w:trPr/>
        <w:tc>
          <w:tcPr>
            <w:tcW w:w="52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16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$1,401.6</w:t>
            </w:r>
          </w:p>
        </w:tc>
      </w:tr>
    </w:tbl>
    <w:tbl>
      <w:tblPr>
        <w:tblW w:w="50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42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B-1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ANNEX B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CERTIFICATE OF AMENDMENT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OF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RESTATED CERTIFICATE OF INCORPORATION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OF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TAKE-TWO INTERACTIVE SOFTWARE, INC.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corporation organized and existing under and by virtue of the General Corporation Law of the State of Delaware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does hereby certify: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FIRST: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at a meeting of the Board of Directors of Take-Two Interactive Software, Inc. resolutions were duly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adopted setting forth a proposed amendment of the Certificate of Incorporation of said corporation, declaring said amendment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be advisable and calling a meeting of the stockholders of said corporation for consideration thereof. The resolution setting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forth the proposed amendment is as follows: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RESOLVED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that the Restated Certificate of Incorporation of this corporation be amended by deleting all of the text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Article VI and replacing it with the following in substitution therefor: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Limited Liability of Directors and Officers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To the fullest extent permitted by law as the same exists or as may hereafter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 amended, no director or officer of the Corporation shall be personally liable to the Corporation or its stockholders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monetary damages for breach of fiduciary duty as a director or officer, as applicable. For purposes of this Section 9.1,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officer” shall have the meaning provided in Section 102(b)(7) of the DGCL, as it presently exists or may hereafter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amended from time to time. If the DGCL is amended to authorize corporate action further eliminating or limiting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personal liability of directors or officers, then the liability of such director or officer of the Corporation shall be eliminated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limited to the fullest extent permitted by the DGCL, as so amended. Neither the amendment nor the repeal of this Article VI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shall eliminate, reduce or otherwise adversely affect any limitation on the personal liability of a director or officer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Corporation existing prior to such amendment or repeal.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SECOND: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thereafter an annual meeting of the stockholders of said corporation was duly called and held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notice in accordance with Section 222 of the General Corporation Law of the State of Delaware at which meeting the necessary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shares as required by statute were voted in favor of the amendment.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THIRD: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said amendment was duly adopted in accordance with the provisions of Section 242 of the General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Corporation Law of the State of Delaware.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IN WITNESS WHEREOF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said corporation has caused this certificate to be signed this [●] day of [●],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TAKE-TWO INTERACTIVE SOFTWARE,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By: 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Name: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Title: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2743200"/>
            <wp:effectExtent l="0" t="0" r="0" b="0"/>
            <wp:docPr id="294" name="Image2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94" descr="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9" w:name="i-294"/>
      <w:bookmarkEnd w:id="299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7543800" cy="9829800"/>
            <wp:effectExtent l="0" t="0" r="0" b="0"/>
            <wp:docPr id="295" name="Image2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295" descr="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0" w:name="i-295"/>
      <w:bookmarkEnd w:id="300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296" name="Image2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296" descr="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1" w:name="i-296"/>
      <w:bookmarkEnd w:id="301"/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8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8"/>
          <w:u w:val="none"/>
          <w:effect w:val="none"/>
          <w:shd w:fill="auto" w:val="clear"/>
        </w:rPr>
        <w:t>Preliminary – Subject to Completion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297" name="Image2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297" descr="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2" w:name="i-297"/>
      <w:bookmarkEnd w:id="302"/>
    </w:p>
    <w:p>
      <w:pPr>
        <w:pStyle w:val="TextBody"/>
        <w:bidi w:val="0"/>
        <w:spacing w:lineRule="atLeast" w:line="280" w:before="0" w:after="283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8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8"/>
          <w:u w:val="none"/>
          <w:effect w:val="none"/>
          <w:shd w:fill="auto" w:val="clear"/>
        </w:rPr>
        <w:t>Preliminary – Subject to Completion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2.jpeg"/><Relationship Id="rId7" Type="http://schemas.openxmlformats.org/officeDocument/2006/relationships/image" Target="media/image2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2.jpe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jpeg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image" Target="media/image19.jpeg"/><Relationship Id="rId29" Type="http://schemas.openxmlformats.org/officeDocument/2006/relationships/image" Target="media/image20.jpeg"/><Relationship Id="rId30" Type="http://schemas.openxmlformats.org/officeDocument/2006/relationships/image" Target="media/image21.jpeg"/><Relationship Id="rId31" Type="http://schemas.openxmlformats.org/officeDocument/2006/relationships/image" Target="media/image22.jpeg"/><Relationship Id="rId32" Type="http://schemas.openxmlformats.org/officeDocument/2006/relationships/image" Target="media/image22.jpeg"/><Relationship Id="rId33" Type="http://schemas.openxmlformats.org/officeDocument/2006/relationships/image" Target="media/image22.jpeg"/><Relationship Id="rId34" Type="http://schemas.openxmlformats.org/officeDocument/2006/relationships/image" Target="media/image22.jpeg"/><Relationship Id="rId35" Type="http://schemas.openxmlformats.org/officeDocument/2006/relationships/image" Target="media/image22.jpeg"/><Relationship Id="rId36" Type="http://schemas.openxmlformats.org/officeDocument/2006/relationships/image" Target="media/image22.jpeg"/><Relationship Id="rId37" Type="http://schemas.openxmlformats.org/officeDocument/2006/relationships/image" Target="media/image22.jpeg"/><Relationship Id="rId38" Type="http://schemas.openxmlformats.org/officeDocument/2006/relationships/image" Target="media/image22.jpeg"/><Relationship Id="rId39" Type="http://schemas.openxmlformats.org/officeDocument/2006/relationships/image" Target="media/image22.jpeg"/><Relationship Id="rId40" Type="http://schemas.openxmlformats.org/officeDocument/2006/relationships/image" Target="media/image23.jpeg"/><Relationship Id="rId41" Type="http://schemas.openxmlformats.org/officeDocument/2006/relationships/image" Target="media/image24.jpeg"/><Relationship Id="rId42" Type="http://schemas.openxmlformats.org/officeDocument/2006/relationships/image" Target="media/image23.jpeg"/><Relationship Id="rId43" Type="http://schemas.openxmlformats.org/officeDocument/2006/relationships/image" Target="media/image25.jpeg"/><Relationship Id="rId44" Type="http://schemas.openxmlformats.org/officeDocument/2006/relationships/image" Target="media/image25.jpeg"/><Relationship Id="rId45" Type="http://schemas.openxmlformats.org/officeDocument/2006/relationships/image" Target="media/image23.jpeg"/><Relationship Id="rId46" Type="http://schemas.openxmlformats.org/officeDocument/2006/relationships/image" Target="media/image26.jpeg"/><Relationship Id="rId47" Type="http://schemas.openxmlformats.org/officeDocument/2006/relationships/image" Target="media/image23.jpeg"/><Relationship Id="rId48" Type="http://schemas.openxmlformats.org/officeDocument/2006/relationships/image" Target="media/image25.jpeg"/><Relationship Id="rId49" Type="http://schemas.openxmlformats.org/officeDocument/2006/relationships/image" Target="media/image27.jpeg"/><Relationship Id="rId50" Type="http://schemas.openxmlformats.org/officeDocument/2006/relationships/image" Target="media/image23.jpeg"/><Relationship Id="rId51" Type="http://schemas.openxmlformats.org/officeDocument/2006/relationships/image" Target="media/image26.jpeg"/><Relationship Id="rId52" Type="http://schemas.openxmlformats.org/officeDocument/2006/relationships/image" Target="media/image27.jpeg"/><Relationship Id="rId53" Type="http://schemas.openxmlformats.org/officeDocument/2006/relationships/image" Target="media/image23.jpeg"/><Relationship Id="rId54" Type="http://schemas.openxmlformats.org/officeDocument/2006/relationships/image" Target="media/image24.jpeg"/><Relationship Id="rId55" Type="http://schemas.openxmlformats.org/officeDocument/2006/relationships/image" Target="media/image23.jpeg"/><Relationship Id="rId56" Type="http://schemas.openxmlformats.org/officeDocument/2006/relationships/image" Target="media/image26.jpeg"/><Relationship Id="rId57" Type="http://schemas.openxmlformats.org/officeDocument/2006/relationships/image" Target="media/image26.jpeg"/><Relationship Id="rId58" Type="http://schemas.openxmlformats.org/officeDocument/2006/relationships/image" Target="media/image23.jpeg"/><Relationship Id="rId59" Type="http://schemas.openxmlformats.org/officeDocument/2006/relationships/image" Target="media/image27.jpeg"/><Relationship Id="rId60" Type="http://schemas.openxmlformats.org/officeDocument/2006/relationships/image" Target="media/image26.jpeg"/><Relationship Id="rId61" Type="http://schemas.openxmlformats.org/officeDocument/2006/relationships/image" Target="media/image23.jpeg"/><Relationship Id="rId62" Type="http://schemas.openxmlformats.org/officeDocument/2006/relationships/image" Target="media/image26.jpeg"/><Relationship Id="rId63" Type="http://schemas.openxmlformats.org/officeDocument/2006/relationships/image" Target="media/image25.jpeg"/><Relationship Id="rId64" Type="http://schemas.openxmlformats.org/officeDocument/2006/relationships/image" Target="media/image28.jpeg"/><Relationship Id="rId65" Type="http://schemas.openxmlformats.org/officeDocument/2006/relationships/image" Target="media/image24.jpeg"/><Relationship Id="rId66" Type="http://schemas.openxmlformats.org/officeDocument/2006/relationships/image" Target="media/image29.jpeg"/><Relationship Id="rId67" Type="http://schemas.openxmlformats.org/officeDocument/2006/relationships/image" Target="media/image22.jpeg"/><Relationship Id="rId68" Type="http://schemas.openxmlformats.org/officeDocument/2006/relationships/image" Target="media/image22.jpeg"/><Relationship Id="rId69" Type="http://schemas.openxmlformats.org/officeDocument/2006/relationships/image" Target="media/image22.jpeg"/><Relationship Id="rId70" Type="http://schemas.openxmlformats.org/officeDocument/2006/relationships/image" Target="media/image22.jpeg"/><Relationship Id="rId71" Type="http://schemas.openxmlformats.org/officeDocument/2006/relationships/image" Target="media/image22.jpeg"/><Relationship Id="rId72" Type="http://schemas.openxmlformats.org/officeDocument/2006/relationships/image" Target="media/image22.jpeg"/><Relationship Id="rId73" Type="http://schemas.openxmlformats.org/officeDocument/2006/relationships/image" Target="media/image22.jpeg"/><Relationship Id="rId74" Type="http://schemas.openxmlformats.org/officeDocument/2006/relationships/image" Target="media/image22.jpeg"/><Relationship Id="rId75" Type="http://schemas.openxmlformats.org/officeDocument/2006/relationships/image" Target="media/image22.jpeg"/><Relationship Id="rId76" Type="http://schemas.openxmlformats.org/officeDocument/2006/relationships/image" Target="media/image22.jpeg"/><Relationship Id="rId77" Type="http://schemas.openxmlformats.org/officeDocument/2006/relationships/image" Target="media/image22.jpeg"/><Relationship Id="rId78" Type="http://schemas.openxmlformats.org/officeDocument/2006/relationships/image" Target="media/image22.jpeg"/><Relationship Id="rId79" Type="http://schemas.openxmlformats.org/officeDocument/2006/relationships/image" Target="media/image22.jpeg"/><Relationship Id="rId80" Type="http://schemas.openxmlformats.org/officeDocument/2006/relationships/image" Target="media/image22.jpeg"/><Relationship Id="rId81" Type="http://schemas.openxmlformats.org/officeDocument/2006/relationships/image" Target="media/image30.jpeg"/><Relationship Id="rId82" Type="http://schemas.openxmlformats.org/officeDocument/2006/relationships/image" Target="media/image31.jpeg"/><Relationship Id="rId83" Type="http://schemas.openxmlformats.org/officeDocument/2006/relationships/image" Target="media/image29.jpeg"/><Relationship Id="rId84" Type="http://schemas.openxmlformats.org/officeDocument/2006/relationships/image" Target="media/image22.jpeg"/><Relationship Id="rId85" Type="http://schemas.openxmlformats.org/officeDocument/2006/relationships/image" Target="media/image22.jpeg"/><Relationship Id="rId86" Type="http://schemas.openxmlformats.org/officeDocument/2006/relationships/image" Target="media/image22.jpeg"/><Relationship Id="rId87" Type="http://schemas.openxmlformats.org/officeDocument/2006/relationships/image" Target="media/image22.jpeg"/><Relationship Id="rId88" Type="http://schemas.openxmlformats.org/officeDocument/2006/relationships/image" Target="media/image22.jpeg"/><Relationship Id="rId89" Type="http://schemas.openxmlformats.org/officeDocument/2006/relationships/image" Target="media/image22.jpeg"/><Relationship Id="rId90" Type="http://schemas.openxmlformats.org/officeDocument/2006/relationships/image" Target="media/image22.jpeg"/><Relationship Id="rId91" Type="http://schemas.openxmlformats.org/officeDocument/2006/relationships/image" Target="media/image22.jpeg"/><Relationship Id="rId92" Type="http://schemas.openxmlformats.org/officeDocument/2006/relationships/image" Target="media/image22.jpeg"/><Relationship Id="rId93" Type="http://schemas.openxmlformats.org/officeDocument/2006/relationships/image" Target="media/image22.jpeg"/><Relationship Id="rId94" Type="http://schemas.openxmlformats.org/officeDocument/2006/relationships/image" Target="media/image22.jpeg"/><Relationship Id="rId95" Type="http://schemas.openxmlformats.org/officeDocument/2006/relationships/image" Target="media/image22.jpeg"/><Relationship Id="rId96" Type="http://schemas.openxmlformats.org/officeDocument/2006/relationships/image" Target="media/image32.jpeg"/><Relationship Id="rId97" Type="http://schemas.openxmlformats.org/officeDocument/2006/relationships/image" Target="media/image33.jpeg"/><Relationship Id="rId98" Type="http://schemas.openxmlformats.org/officeDocument/2006/relationships/image" Target="media/image34.jpeg"/><Relationship Id="rId99" Type="http://schemas.openxmlformats.org/officeDocument/2006/relationships/image" Target="media/image35.jpeg"/><Relationship Id="rId100" Type="http://schemas.openxmlformats.org/officeDocument/2006/relationships/image" Target="media/image36.jpeg"/><Relationship Id="rId101" Type="http://schemas.openxmlformats.org/officeDocument/2006/relationships/image" Target="media/image37.jpeg"/><Relationship Id="rId102" Type="http://schemas.openxmlformats.org/officeDocument/2006/relationships/image" Target="media/image38.jpeg"/><Relationship Id="rId103" Type="http://schemas.openxmlformats.org/officeDocument/2006/relationships/image" Target="media/image39.jpeg"/><Relationship Id="rId104" Type="http://schemas.openxmlformats.org/officeDocument/2006/relationships/image" Target="media/image40.jpeg"/><Relationship Id="rId105" Type="http://schemas.openxmlformats.org/officeDocument/2006/relationships/image" Target="media/image41.jpeg"/><Relationship Id="rId106" Type="http://schemas.openxmlformats.org/officeDocument/2006/relationships/image" Target="media/image42.jpeg"/><Relationship Id="rId107" Type="http://schemas.openxmlformats.org/officeDocument/2006/relationships/image" Target="media/image43.jpeg"/><Relationship Id="rId108" Type="http://schemas.openxmlformats.org/officeDocument/2006/relationships/image" Target="media/image44.jpeg"/><Relationship Id="rId109" Type="http://schemas.openxmlformats.org/officeDocument/2006/relationships/image" Target="media/image45.jpeg"/><Relationship Id="rId110" Type="http://schemas.openxmlformats.org/officeDocument/2006/relationships/image" Target="media/image46.jpeg"/><Relationship Id="rId111" Type="http://schemas.openxmlformats.org/officeDocument/2006/relationships/image" Target="media/image47.jpeg"/><Relationship Id="rId112" Type="http://schemas.openxmlformats.org/officeDocument/2006/relationships/image" Target="media/image48.jpeg"/><Relationship Id="rId113" Type="http://schemas.openxmlformats.org/officeDocument/2006/relationships/image" Target="media/image49.jpeg"/><Relationship Id="rId114" Type="http://schemas.openxmlformats.org/officeDocument/2006/relationships/image" Target="media/image50.jpeg"/><Relationship Id="rId115" Type="http://schemas.openxmlformats.org/officeDocument/2006/relationships/image" Target="media/image51.jpeg"/><Relationship Id="rId116" Type="http://schemas.openxmlformats.org/officeDocument/2006/relationships/image" Target="media/image52.jpeg"/><Relationship Id="rId117" Type="http://schemas.openxmlformats.org/officeDocument/2006/relationships/image" Target="media/image52.jpeg"/><Relationship Id="rId118" Type="http://schemas.openxmlformats.org/officeDocument/2006/relationships/image" Target="media/image52.jpeg"/><Relationship Id="rId119" Type="http://schemas.openxmlformats.org/officeDocument/2006/relationships/image" Target="media/image52.jpeg"/><Relationship Id="rId120" Type="http://schemas.openxmlformats.org/officeDocument/2006/relationships/image" Target="media/image52.jpeg"/><Relationship Id="rId121" Type="http://schemas.openxmlformats.org/officeDocument/2006/relationships/image" Target="media/image52.jpeg"/><Relationship Id="rId122" Type="http://schemas.openxmlformats.org/officeDocument/2006/relationships/image" Target="media/image52.jpeg"/><Relationship Id="rId123" Type="http://schemas.openxmlformats.org/officeDocument/2006/relationships/image" Target="media/image52.jpeg"/><Relationship Id="rId124" Type="http://schemas.openxmlformats.org/officeDocument/2006/relationships/image" Target="media/image52.jpeg"/><Relationship Id="rId125" Type="http://schemas.openxmlformats.org/officeDocument/2006/relationships/image" Target="media/image52.jpeg"/><Relationship Id="rId126" Type="http://schemas.openxmlformats.org/officeDocument/2006/relationships/image" Target="media/image52.jpeg"/><Relationship Id="rId127" Type="http://schemas.openxmlformats.org/officeDocument/2006/relationships/image" Target="media/image52.jpeg"/><Relationship Id="rId128" Type="http://schemas.openxmlformats.org/officeDocument/2006/relationships/image" Target="media/image52.jpeg"/><Relationship Id="rId129" Type="http://schemas.openxmlformats.org/officeDocument/2006/relationships/image" Target="media/image52.jpeg"/><Relationship Id="rId130" Type="http://schemas.openxmlformats.org/officeDocument/2006/relationships/image" Target="media/image52.jpeg"/><Relationship Id="rId131" Type="http://schemas.openxmlformats.org/officeDocument/2006/relationships/image" Target="media/image52.jpeg"/><Relationship Id="rId132" Type="http://schemas.openxmlformats.org/officeDocument/2006/relationships/image" Target="media/image52.jpeg"/><Relationship Id="rId133" Type="http://schemas.openxmlformats.org/officeDocument/2006/relationships/image" Target="media/image52.jpeg"/><Relationship Id="rId134" Type="http://schemas.openxmlformats.org/officeDocument/2006/relationships/image" Target="media/image52.jpeg"/><Relationship Id="rId135" Type="http://schemas.openxmlformats.org/officeDocument/2006/relationships/image" Target="media/image52.jpeg"/><Relationship Id="rId136" Type="http://schemas.openxmlformats.org/officeDocument/2006/relationships/image" Target="media/image52.jpeg"/><Relationship Id="rId137" Type="http://schemas.openxmlformats.org/officeDocument/2006/relationships/image" Target="media/image52.jpeg"/><Relationship Id="rId138" Type="http://schemas.openxmlformats.org/officeDocument/2006/relationships/image" Target="media/image52.jpeg"/><Relationship Id="rId139" Type="http://schemas.openxmlformats.org/officeDocument/2006/relationships/image" Target="media/image52.jpeg"/><Relationship Id="rId140" Type="http://schemas.openxmlformats.org/officeDocument/2006/relationships/image" Target="media/image52.jpeg"/><Relationship Id="rId141" Type="http://schemas.openxmlformats.org/officeDocument/2006/relationships/image" Target="media/image52.jpeg"/><Relationship Id="rId142" Type="http://schemas.openxmlformats.org/officeDocument/2006/relationships/image" Target="media/image52.jpeg"/><Relationship Id="rId143" Type="http://schemas.openxmlformats.org/officeDocument/2006/relationships/image" Target="media/image52.jpeg"/><Relationship Id="rId144" Type="http://schemas.openxmlformats.org/officeDocument/2006/relationships/image" Target="media/image52.jpeg"/><Relationship Id="rId145" Type="http://schemas.openxmlformats.org/officeDocument/2006/relationships/image" Target="media/image52.jpeg"/><Relationship Id="rId146" Type="http://schemas.openxmlformats.org/officeDocument/2006/relationships/image" Target="media/image52.jpeg"/><Relationship Id="rId147" Type="http://schemas.openxmlformats.org/officeDocument/2006/relationships/image" Target="media/image52.jpeg"/><Relationship Id="rId148" Type="http://schemas.openxmlformats.org/officeDocument/2006/relationships/image" Target="media/image52.jpeg"/><Relationship Id="rId149" Type="http://schemas.openxmlformats.org/officeDocument/2006/relationships/image" Target="media/image52.jpeg"/><Relationship Id="rId150" Type="http://schemas.openxmlformats.org/officeDocument/2006/relationships/image" Target="media/image52.jpeg"/><Relationship Id="rId151" Type="http://schemas.openxmlformats.org/officeDocument/2006/relationships/image" Target="media/image52.jpeg"/><Relationship Id="rId152" Type="http://schemas.openxmlformats.org/officeDocument/2006/relationships/image" Target="media/image52.jpeg"/><Relationship Id="rId153" Type="http://schemas.openxmlformats.org/officeDocument/2006/relationships/image" Target="media/image52.jpeg"/><Relationship Id="rId154" Type="http://schemas.openxmlformats.org/officeDocument/2006/relationships/image" Target="media/image52.jpeg"/><Relationship Id="rId155" Type="http://schemas.openxmlformats.org/officeDocument/2006/relationships/image" Target="media/image52.jpeg"/><Relationship Id="rId156" Type="http://schemas.openxmlformats.org/officeDocument/2006/relationships/image" Target="media/image52.jpeg"/><Relationship Id="rId157" Type="http://schemas.openxmlformats.org/officeDocument/2006/relationships/image" Target="media/image52.jpeg"/><Relationship Id="rId158" Type="http://schemas.openxmlformats.org/officeDocument/2006/relationships/image" Target="media/image52.jpeg"/><Relationship Id="rId159" Type="http://schemas.openxmlformats.org/officeDocument/2006/relationships/image" Target="media/image52.jpeg"/><Relationship Id="rId160" Type="http://schemas.openxmlformats.org/officeDocument/2006/relationships/image" Target="media/image52.jpeg"/><Relationship Id="rId161" Type="http://schemas.openxmlformats.org/officeDocument/2006/relationships/image" Target="media/image52.jpeg"/><Relationship Id="rId162" Type="http://schemas.openxmlformats.org/officeDocument/2006/relationships/image" Target="media/image52.jpeg"/><Relationship Id="rId163" Type="http://schemas.openxmlformats.org/officeDocument/2006/relationships/image" Target="media/image52.jpeg"/><Relationship Id="rId164" Type="http://schemas.openxmlformats.org/officeDocument/2006/relationships/image" Target="media/image52.jpeg"/><Relationship Id="rId165" Type="http://schemas.openxmlformats.org/officeDocument/2006/relationships/image" Target="media/image52.jpeg"/><Relationship Id="rId166" Type="http://schemas.openxmlformats.org/officeDocument/2006/relationships/image" Target="media/image52.jpeg"/><Relationship Id="rId167" Type="http://schemas.openxmlformats.org/officeDocument/2006/relationships/image" Target="media/image52.jpeg"/><Relationship Id="rId168" Type="http://schemas.openxmlformats.org/officeDocument/2006/relationships/image" Target="media/image52.jpeg"/><Relationship Id="rId169" Type="http://schemas.openxmlformats.org/officeDocument/2006/relationships/image" Target="media/image52.jpeg"/><Relationship Id="rId170" Type="http://schemas.openxmlformats.org/officeDocument/2006/relationships/image" Target="media/image52.jpeg"/><Relationship Id="rId171" Type="http://schemas.openxmlformats.org/officeDocument/2006/relationships/image" Target="media/image52.jpeg"/><Relationship Id="rId172" Type="http://schemas.openxmlformats.org/officeDocument/2006/relationships/image" Target="media/image52.jpeg"/><Relationship Id="rId173" Type="http://schemas.openxmlformats.org/officeDocument/2006/relationships/image" Target="media/image52.jpeg"/><Relationship Id="rId174" Type="http://schemas.openxmlformats.org/officeDocument/2006/relationships/image" Target="media/image52.jpeg"/><Relationship Id="rId175" Type="http://schemas.openxmlformats.org/officeDocument/2006/relationships/image" Target="media/image52.jpeg"/><Relationship Id="rId176" Type="http://schemas.openxmlformats.org/officeDocument/2006/relationships/image" Target="media/image52.jpeg"/><Relationship Id="rId177" Type="http://schemas.openxmlformats.org/officeDocument/2006/relationships/image" Target="media/image52.jpeg"/><Relationship Id="rId178" Type="http://schemas.openxmlformats.org/officeDocument/2006/relationships/image" Target="media/image52.jpeg"/><Relationship Id="rId179" Type="http://schemas.openxmlformats.org/officeDocument/2006/relationships/image" Target="media/image52.jpeg"/><Relationship Id="rId180" Type="http://schemas.openxmlformats.org/officeDocument/2006/relationships/image" Target="media/image52.jpeg"/><Relationship Id="rId181" Type="http://schemas.openxmlformats.org/officeDocument/2006/relationships/image" Target="media/image52.jpeg"/><Relationship Id="rId182" Type="http://schemas.openxmlformats.org/officeDocument/2006/relationships/image" Target="media/image52.jpeg"/><Relationship Id="rId183" Type="http://schemas.openxmlformats.org/officeDocument/2006/relationships/image" Target="media/image52.jpeg"/><Relationship Id="rId184" Type="http://schemas.openxmlformats.org/officeDocument/2006/relationships/image" Target="media/image52.jpeg"/><Relationship Id="rId185" Type="http://schemas.openxmlformats.org/officeDocument/2006/relationships/image" Target="media/image52.jpeg"/><Relationship Id="rId186" Type="http://schemas.openxmlformats.org/officeDocument/2006/relationships/image" Target="media/image52.jpeg"/><Relationship Id="rId187" Type="http://schemas.openxmlformats.org/officeDocument/2006/relationships/image" Target="media/image52.jpeg"/><Relationship Id="rId188" Type="http://schemas.openxmlformats.org/officeDocument/2006/relationships/image" Target="media/image52.jpeg"/><Relationship Id="rId189" Type="http://schemas.openxmlformats.org/officeDocument/2006/relationships/image" Target="media/image52.jpeg"/><Relationship Id="rId190" Type="http://schemas.openxmlformats.org/officeDocument/2006/relationships/image" Target="media/image52.jpeg"/><Relationship Id="rId191" Type="http://schemas.openxmlformats.org/officeDocument/2006/relationships/image" Target="media/image52.jpeg"/><Relationship Id="rId192" Type="http://schemas.openxmlformats.org/officeDocument/2006/relationships/image" Target="media/image52.jpeg"/><Relationship Id="rId193" Type="http://schemas.openxmlformats.org/officeDocument/2006/relationships/image" Target="media/image52.jpeg"/><Relationship Id="rId194" Type="http://schemas.openxmlformats.org/officeDocument/2006/relationships/image" Target="media/image52.jpeg"/><Relationship Id="rId195" Type="http://schemas.openxmlformats.org/officeDocument/2006/relationships/image" Target="media/image52.jpeg"/><Relationship Id="rId196" Type="http://schemas.openxmlformats.org/officeDocument/2006/relationships/image" Target="media/image52.jpeg"/><Relationship Id="rId197" Type="http://schemas.openxmlformats.org/officeDocument/2006/relationships/image" Target="media/image52.jpeg"/><Relationship Id="rId198" Type="http://schemas.openxmlformats.org/officeDocument/2006/relationships/image" Target="media/image52.jpeg"/><Relationship Id="rId199" Type="http://schemas.openxmlformats.org/officeDocument/2006/relationships/image" Target="media/image52.jpeg"/><Relationship Id="rId200" Type="http://schemas.openxmlformats.org/officeDocument/2006/relationships/image" Target="media/image52.jpeg"/><Relationship Id="rId201" Type="http://schemas.openxmlformats.org/officeDocument/2006/relationships/image" Target="media/image52.jpeg"/><Relationship Id="rId202" Type="http://schemas.openxmlformats.org/officeDocument/2006/relationships/image" Target="media/image53.jpeg"/><Relationship Id="rId203" Type="http://schemas.openxmlformats.org/officeDocument/2006/relationships/image" Target="media/image53.jpeg"/><Relationship Id="rId204" Type="http://schemas.openxmlformats.org/officeDocument/2006/relationships/image" Target="media/image54.jpeg"/><Relationship Id="rId205" Type="http://schemas.openxmlformats.org/officeDocument/2006/relationships/image" Target="media/image22.jpeg"/><Relationship Id="rId206" Type="http://schemas.openxmlformats.org/officeDocument/2006/relationships/image" Target="media/image22.jpeg"/><Relationship Id="rId207" Type="http://schemas.openxmlformats.org/officeDocument/2006/relationships/image" Target="media/image22.jpeg"/><Relationship Id="rId208" Type="http://schemas.openxmlformats.org/officeDocument/2006/relationships/image" Target="media/image22.jpeg"/><Relationship Id="rId209" Type="http://schemas.openxmlformats.org/officeDocument/2006/relationships/image" Target="media/image22.jpeg"/><Relationship Id="rId210" Type="http://schemas.openxmlformats.org/officeDocument/2006/relationships/image" Target="media/image22.jpeg"/><Relationship Id="rId211" Type="http://schemas.openxmlformats.org/officeDocument/2006/relationships/image" Target="media/image22.jpeg"/><Relationship Id="rId212" Type="http://schemas.openxmlformats.org/officeDocument/2006/relationships/image" Target="media/image24.jpeg"/><Relationship Id="rId213" Type="http://schemas.openxmlformats.org/officeDocument/2006/relationships/image" Target="media/image28.jpeg"/><Relationship Id="rId214" Type="http://schemas.openxmlformats.org/officeDocument/2006/relationships/image" Target="media/image28.jpeg"/><Relationship Id="rId215" Type="http://schemas.openxmlformats.org/officeDocument/2006/relationships/image" Target="media/image28.jpeg"/><Relationship Id="rId216" Type="http://schemas.openxmlformats.org/officeDocument/2006/relationships/image" Target="media/image28.jpeg"/><Relationship Id="rId217" Type="http://schemas.openxmlformats.org/officeDocument/2006/relationships/image" Target="media/image24.jpeg"/><Relationship Id="rId218" Type="http://schemas.openxmlformats.org/officeDocument/2006/relationships/image" Target="media/image28.jpeg"/><Relationship Id="rId219" Type="http://schemas.openxmlformats.org/officeDocument/2006/relationships/image" Target="media/image24.jpeg"/><Relationship Id="rId220" Type="http://schemas.openxmlformats.org/officeDocument/2006/relationships/image" Target="media/image24.jpeg"/><Relationship Id="rId221" Type="http://schemas.openxmlformats.org/officeDocument/2006/relationships/image" Target="media/image28.jpeg"/><Relationship Id="rId222" Type="http://schemas.openxmlformats.org/officeDocument/2006/relationships/image" Target="media/image28.jpeg"/><Relationship Id="rId223" Type="http://schemas.openxmlformats.org/officeDocument/2006/relationships/image" Target="media/image24.jpeg"/><Relationship Id="rId224" Type="http://schemas.openxmlformats.org/officeDocument/2006/relationships/image" Target="media/image28.jpeg"/><Relationship Id="rId225" Type="http://schemas.openxmlformats.org/officeDocument/2006/relationships/image" Target="media/image28.jpeg"/><Relationship Id="rId226" Type="http://schemas.openxmlformats.org/officeDocument/2006/relationships/image" Target="media/image28.jpeg"/><Relationship Id="rId227" Type="http://schemas.openxmlformats.org/officeDocument/2006/relationships/image" Target="media/image28.jpeg"/><Relationship Id="rId228" Type="http://schemas.openxmlformats.org/officeDocument/2006/relationships/image" Target="media/image24.jpeg"/><Relationship Id="rId229" Type="http://schemas.openxmlformats.org/officeDocument/2006/relationships/image" Target="media/image55.jpeg"/><Relationship Id="rId230" Type="http://schemas.openxmlformats.org/officeDocument/2006/relationships/image" Target="media/image56.jpeg"/><Relationship Id="rId231" Type="http://schemas.openxmlformats.org/officeDocument/2006/relationships/image" Target="media/image56.jpeg"/><Relationship Id="rId232" Type="http://schemas.openxmlformats.org/officeDocument/2006/relationships/image" Target="media/image57.jpeg"/><Relationship Id="rId233" Type="http://schemas.openxmlformats.org/officeDocument/2006/relationships/image" Target="media/image58.jpeg"/><Relationship Id="rId234" Type="http://schemas.openxmlformats.org/officeDocument/2006/relationships/image" Target="media/image59.jpeg"/><Relationship Id="rId235" Type="http://schemas.openxmlformats.org/officeDocument/2006/relationships/image" Target="media/image60.jpeg"/><Relationship Id="rId236" Type="http://schemas.openxmlformats.org/officeDocument/2006/relationships/image" Target="media/image61.jpeg"/><Relationship Id="rId237" Type="http://schemas.openxmlformats.org/officeDocument/2006/relationships/image" Target="media/image62.jpeg"/><Relationship Id="rId238" Type="http://schemas.openxmlformats.org/officeDocument/2006/relationships/image" Target="media/image63.jpeg"/><Relationship Id="rId239" Type="http://schemas.openxmlformats.org/officeDocument/2006/relationships/image" Target="media/image22.jpeg"/><Relationship Id="rId240" Type="http://schemas.openxmlformats.org/officeDocument/2006/relationships/image" Target="media/image22.jpeg"/><Relationship Id="rId241" Type="http://schemas.openxmlformats.org/officeDocument/2006/relationships/image" Target="media/image22.jpeg"/><Relationship Id="rId242" Type="http://schemas.openxmlformats.org/officeDocument/2006/relationships/image" Target="media/image22.jpeg"/><Relationship Id="rId243" Type="http://schemas.openxmlformats.org/officeDocument/2006/relationships/image" Target="media/image41.jpeg"/><Relationship Id="rId244" Type="http://schemas.openxmlformats.org/officeDocument/2006/relationships/image" Target="media/image60.jpeg"/><Relationship Id="rId245" Type="http://schemas.openxmlformats.org/officeDocument/2006/relationships/image" Target="media/image61.jpeg"/><Relationship Id="rId246" Type="http://schemas.openxmlformats.org/officeDocument/2006/relationships/image" Target="media/image62.jpeg"/><Relationship Id="rId247" Type="http://schemas.openxmlformats.org/officeDocument/2006/relationships/image" Target="media/image64.jpeg"/><Relationship Id="rId248" Type="http://schemas.openxmlformats.org/officeDocument/2006/relationships/image" Target="media/image65.jpeg"/><Relationship Id="rId249" Type="http://schemas.openxmlformats.org/officeDocument/2006/relationships/image" Target="media/image66.jpeg"/><Relationship Id="rId250" Type="http://schemas.openxmlformats.org/officeDocument/2006/relationships/image" Target="media/image17.jpeg"/><Relationship Id="rId251" Type="http://schemas.openxmlformats.org/officeDocument/2006/relationships/image" Target="media/image19.jpeg"/><Relationship Id="rId252" Type="http://schemas.openxmlformats.org/officeDocument/2006/relationships/image" Target="media/image18.jpeg"/><Relationship Id="rId253" Type="http://schemas.openxmlformats.org/officeDocument/2006/relationships/image" Target="media/image20.jpeg"/><Relationship Id="rId254" Type="http://schemas.openxmlformats.org/officeDocument/2006/relationships/image" Target="media/image67.jpeg"/><Relationship Id="rId255" Type="http://schemas.openxmlformats.org/officeDocument/2006/relationships/image" Target="media/image68.jpeg"/><Relationship Id="rId256" Type="http://schemas.openxmlformats.org/officeDocument/2006/relationships/image" Target="media/image69.jpeg"/><Relationship Id="rId257" Type="http://schemas.openxmlformats.org/officeDocument/2006/relationships/image" Target="media/image70.jpeg"/><Relationship Id="rId258" Type="http://schemas.openxmlformats.org/officeDocument/2006/relationships/image" Target="media/image70.jpeg"/><Relationship Id="rId259" Type="http://schemas.openxmlformats.org/officeDocument/2006/relationships/image" Target="media/image70.jpeg"/><Relationship Id="rId260" Type="http://schemas.openxmlformats.org/officeDocument/2006/relationships/image" Target="media/image70.jpeg"/><Relationship Id="rId261" Type="http://schemas.openxmlformats.org/officeDocument/2006/relationships/image" Target="media/image30.jpeg"/><Relationship Id="rId262" Type="http://schemas.openxmlformats.org/officeDocument/2006/relationships/image" Target="media/image31.jpeg"/><Relationship Id="rId263" Type="http://schemas.openxmlformats.org/officeDocument/2006/relationships/image" Target="media/image71.jpeg"/><Relationship Id="rId264" Type="http://schemas.openxmlformats.org/officeDocument/2006/relationships/image" Target="media/image22.jpeg"/><Relationship Id="rId265" Type="http://schemas.openxmlformats.org/officeDocument/2006/relationships/image" Target="media/image22.jpeg"/><Relationship Id="rId266" Type="http://schemas.openxmlformats.org/officeDocument/2006/relationships/image" Target="media/image22.jpeg"/><Relationship Id="rId267" Type="http://schemas.openxmlformats.org/officeDocument/2006/relationships/image" Target="media/image22.jpeg"/><Relationship Id="rId268" Type="http://schemas.openxmlformats.org/officeDocument/2006/relationships/image" Target="media/image22.jpeg"/><Relationship Id="rId269" Type="http://schemas.openxmlformats.org/officeDocument/2006/relationships/image" Target="media/image22.jpeg"/><Relationship Id="rId270" Type="http://schemas.openxmlformats.org/officeDocument/2006/relationships/image" Target="media/image22.jpeg"/><Relationship Id="rId271" Type="http://schemas.openxmlformats.org/officeDocument/2006/relationships/image" Target="media/image22.jpeg"/><Relationship Id="rId272" Type="http://schemas.openxmlformats.org/officeDocument/2006/relationships/image" Target="media/image22.jpeg"/><Relationship Id="rId273" Type="http://schemas.openxmlformats.org/officeDocument/2006/relationships/image" Target="media/image22.jpeg"/><Relationship Id="rId274" Type="http://schemas.openxmlformats.org/officeDocument/2006/relationships/image" Target="media/image22.jpeg"/><Relationship Id="rId275" Type="http://schemas.openxmlformats.org/officeDocument/2006/relationships/image" Target="media/image72.jpeg"/><Relationship Id="rId276" Type="http://schemas.openxmlformats.org/officeDocument/2006/relationships/image" Target="media/image22.jpeg"/><Relationship Id="rId277" Type="http://schemas.openxmlformats.org/officeDocument/2006/relationships/image" Target="media/image22.jpeg"/><Relationship Id="rId278" Type="http://schemas.openxmlformats.org/officeDocument/2006/relationships/image" Target="media/image22.jpeg"/><Relationship Id="rId279" Type="http://schemas.openxmlformats.org/officeDocument/2006/relationships/image" Target="media/image22.jpeg"/><Relationship Id="rId280" Type="http://schemas.openxmlformats.org/officeDocument/2006/relationships/image" Target="media/image22.jpeg"/><Relationship Id="rId281" Type="http://schemas.openxmlformats.org/officeDocument/2006/relationships/image" Target="media/image73.jpeg"/><Relationship Id="rId282" Type="http://schemas.openxmlformats.org/officeDocument/2006/relationships/image" Target="media/image74.jpeg"/><Relationship Id="rId283" Type="http://schemas.openxmlformats.org/officeDocument/2006/relationships/image" Target="media/image75.jpeg"/><Relationship Id="rId284" Type="http://schemas.openxmlformats.org/officeDocument/2006/relationships/image" Target="media/image76.jpeg"/><Relationship Id="rId285" Type="http://schemas.openxmlformats.org/officeDocument/2006/relationships/image" Target="media/image77.jpeg"/><Relationship Id="rId286" Type="http://schemas.openxmlformats.org/officeDocument/2006/relationships/image" Target="media/image78.jpeg"/><Relationship Id="rId287" Type="http://schemas.openxmlformats.org/officeDocument/2006/relationships/image" Target="media/image79.jpeg"/><Relationship Id="rId288" Type="http://schemas.openxmlformats.org/officeDocument/2006/relationships/image" Target="media/image80.jpeg"/><Relationship Id="rId289" Type="http://schemas.openxmlformats.org/officeDocument/2006/relationships/image" Target="media/image81.jpeg"/><Relationship Id="rId290" Type="http://schemas.openxmlformats.org/officeDocument/2006/relationships/image" Target="media/image82.jpeg"/><Relationship Id="rId291" Type="http://schemas.openxmlformats.org/officeDocument/2006/relationships/image" Target="media/image83.jpeg"/><Relationship Id="rId292" Type="http://schemas.openxmlformats.org/officeDocument/2006/relationships/image" Target="media/image84.jpeg"/><Relationship Id="rId293" Type="http://schemas.openxmlformats.org/officeDocument/2006/relationships/image" Target="media/image22.jpeg"/><Relationship Id="rId294" Type="http://schemas.openxmlformats.org/officeDocument/2006/relationships/image" Target="media/image22.jpeg"/><Relationship Id="rId295" Type="http://schemas.openxmlformats.org/officeDocument/2006/relationships/image" Target="media/image85.jpeg"/><Relationship Id="rId296" Type="http://schemas.openxmlformats.org/officeDocument/2006/relationships/image" Target="media/image86.jpeg"/><Relationship Id="rId297" Type="http://schemas.openxmlformats.org/officeDocument/2006/relationships/image" Target="media/image87.jpeg"/><Relationship Id="rId298" Type="http://schemas.openxmlformats.org/officeDocument/2006/relationships/image" Target="media/image88.jpeg"/><Relationship Id="rId299" Type="http://schemas.openxmlformats.org/officeDocument/2006/relationships/fontTable" Target="fontTable.xml"/><Relationship Id="rId30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13</Pages>
  <Words>48260</Words>
  <Characters>270921</Characters>
  <CharactersWithSpaces>316648</CharactersWithSpaces>
  <Paragraphs>5998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