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16, 2024</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440" w:right="379" w:bottom="1440" w:gutter="0" w:footer="0" w:header="0"/>
        </w:sectPr>
      </w:pPr>
    </w:p>
    <w:p>
      <w:pPr>
        <w:spacing w:after="0" w:line="25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001-34003</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51-0350842</w:t>
      </w:r>
    </w:p>
    <w:p>
      <w:pPr>
        <w:spacing w:after="0" w:line="79" w:lineRule="exact"/>
        <w:rPr>
          <w:sz w:val="24"/>
          <w:szCs w:val="24"/>
          <w:color w:val="auto"/>
        </w:rPr>
      </w:pPr>
    </w:p>
    <w:p>
      <w:pPr>
        <w:sectPr>
          <w:pgSz w:w="11900" w:h="16838" w:orient="portrait"/>
          <w:cols w:equalWidth="0" w:num="3">
            <w:col w:w="4380" w:space="720"/>
            <w:col w:w="2940" w:space="720"/>
            <w:col w:w="2440"/>
          </w:cols>
          <w:pgMar w:left="320" w:top="1440"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ectPr>
          <w:pgSz w:w="11900" w:h="16838" w:orient="portrait"/>
          <w:cols w:equalWidth="0" w:num="3">
            <w:col w:w="4300" w:space="720"/>
            <w:col w:w="2900" w:space="720"/>
            <w:col w:w="2560"/>
          </w:cols>
          <w:pgMar w:left="320" w:top="1440" w:right="37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280" w:space="720"/>
            <w:col w:w="2800" w:space="720"/>
            <w:col w:w="2680"/>
          </w:cols>
          <w:pgMar w:left="320" w:top="1440" w:right="379" w:bottom="1440" w:gutter="0" w:footer="0" w:header="0"/>
          <w:type w:val="continuous"/>
        </w:sectPr>
      </w:pPr>
    </w:p>
    <w:p>
      <w:pPr>
        <w:spacing w:after="0" w:line="75" w:lineRule="exact"/>
        <w:rPr>
          <w:sz w:val="24"/>
          <w:szCs w:val="24"/>
          <w:color w:val="auto"/>
        </w:rPr>
      </w:pPr>
    </w:p>
    <w:p>
      <w:pPr>
        <w:ind w:left="1480"/>
        <w:spacing w:after="0"/>
        <w:tabs>
          <w:tab w:leader="none" w:pos="3240" w:val="left"/>
          <w:tab w:leader="none" w:pos="4240" w:val="left"/>
        </w:tabs>
        <w:rPr>
          <w:sz w:val="20"/>
          <w:szCs w:val="20"/>
          <w:color w:val="auto"/>
        </w:rPr>
      </w:pPr>
      <w:r>
        <w:rPr>
          <w:rFonts w:ascii="Times New Roman" w:cs="Times New Roman" w:eastAsia="Times New Roman" w:hAnsi="Times New Roman"/>
          <w:sz w:val="18"/>
          <w:szCs w:val="18"/>
          <w:b w:val="1"/>
          <w:bCs w:val="1"/>
          <w:color w:val="auto"/>
        </w:rPr>
        <w:t>110 West 44th Street,</w:t>
        <w:tab/>
        <w:t>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78" w:lineRule="exact"/>
        <w:rPr>
          <w:sz w:val="24"/>
          <w:szCs w:val="24"/>
          <w:color w:val="auto"/>
        </w:rPr>
      </w:pPr>
    </w:p>
    <w:p>
      <w:pPr>
        <w:sectPr>
          <w:pgSz w:w="11900" w:h="16838" w:orient="portrait"/>
          <w:cols w:equalWidth="0" w:num="2">
            <w:col w:w="6540" w:space="720"/>
            <w:col w:w="3940"/>
          </w:cols>
          <w:pgMar w:left="320" w:top="1440" w:right="37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60" w:space="720"/>
            <w:col w:w="4120"/>
          </w:cols>
          <w:pgMar w:left="320" w:top="1440" w:right="379" w:bottom="1440" w:gutter="0" w:footer="0" w:header="0"/>
          <w:type w:val="continuous"/>
        </w:sect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2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TTWO</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11" w:lineRule="exact"/>
        <w:rPr>
          <w:sz w:val="24"/>
          <w:szCs w:val="24"/>
          <w:color w:val="auto"/>
        </w:rPr>
      </w:pPr>
    </w:p>
    <w:p>
      <w:pPr>
        <w:ind w:right="420" w:firstLine="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3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16, 2024 the Board of Directors of Take-Two Interactive Software, Inc. (the “Company”) approved a cost reduction program (the “Plan”) to identify efficiencies across its business and enhance the Company’s margin profile, while still investing for growth. As part of these efforts, the Company is rationalizing its pipeline and eliminating several projects in development and streamlining its organizational structure, which will eliminate headcount and reduce future hiring needs.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estimates that it will incur approximately $160 million to $200 million in total charges in connection with the Plan. The Company expects $40 million to $60 million of the total charges to result in future cash expenditures. The total charge consists of approximately $120 million to $140 million related to title cancellations, approximately $25 million to $35 million associated with employee severance and employee-related costs, and approximately $15 million to $25 million related to office space reductions.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is expected to be largely complete by December 31, 2024 and will reduce the Company’s workforce by approximately 5%.</w:t>
      </w:r>
    </w:p>
    <w:p>
      <w:pPr>
        <w:spacing w:after="0" w:line="302"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to achieve over $165 million of annual cost savings in connection with the Plan disclosed in Item 2.05 of this Current Report on Form 8-K, which includes reductions to its existing expense base and lowered projected expense growth for the coming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We use words such as “anticipate,” “believe,” “expect,” “intend,” “estimate”, “plan”, “predict”, “seek”, “goal”, “will”, “may”, “likely”, “should”, “could” (and the negative of any of these terms), “future”, and similar expressions to identify forward-looking statements. In addition, any statements that refer to projections of our future financial performance, trends in our business, uncertain events and assumptions and other characterizations of future events or circumstances are forward-looking statements. Forward-looking statements consist of, among other things, statements related to our business, operations and financial results, and our future financial performance, including our ability to achieve the expected cost savings in connection with the Plan described in this Form 8-K, and may include certain assumptions that underlie the forward-looking statements. These forward-looking statements are not guarantees of future performance and reflect management’s current expectations. Our actual results could differ materially from those discussed in the forward-looking statements. Factors that might cause or contribute to such differences include those described in Take-Two Interactive Software, Inc.’s Annual Report on Form 10-K, filed on May 26, 2023 and in its other filings. We assume no obligation to revise or update any forward-looking statement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Matthew Breitman</w:t>
      </w:r>
    </w:p>
    <w:p>
      <w:pPr>
        <w:spacing w:after="0" w:line="6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General Counsel Americas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0980"/>
      </w:cols>
      <w:pgMar w:left="320" w:top="11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2024-04-16T16:08:54Z</dcterms:created>
  <dcterms:modified xsi:type="dcterms:W3CDTF">2024-04-16T16:08:54Z</dcterms:modified>
</cp:coreProperties>
</file>